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201F8580" w:rsidR="00E203C2" w:rsidRDefault="00E203C2" w:rsidP="00E203C2">
      <w:r>
        <w:rPr>
          <w:noProof/>
          <w:lang w:eastAsia="en-GB" w:bidi="ar-SA"/>
        </w:rPr>
        <w:drawing>
          <wp:inline distT="0" distB="0" distL="0" distR="0" wp14:anchorId="53705D84" wp14:editId="745138F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Default="00E203C2" w:rsidP="00E203C2"/>
    <w:p w14:paraId="15B16D4B" w14:textId="57F8008E" w:rsidR="00CA641D" w:rsidRPr="00FF07D9" w:rsidRDefault="00FA58AB" w:rsidP="00CA641D">
      <w:pPr>
        <w:rPr>
          <w:b/>
          <w:sz w:val="28"/>
          <w:szCs w:val="28"/>
        </w:rPr>
      </w:pPr>
      <w:r>
        <w:rPr>
          <w:b/>
          <w:sz w:val="28"/>
          <w:szCs w:val="28"/>
        </w:rPr>
        <w:t>25</w:t>
      </w:r>
      <w:r w:rsidR="00CA641D" w:rsidRPr="00FF07D9">
        <w:rPr>
          <w:b/>
          <w:sz w:val="28"/>
          <w:szCs w:val="28"/>
        </w:rPr>
        <w:t xml:space="preserve"> </w:t>
      </w:r>
      <w:r w:rsidR="00FF07D9" w:rsidRPr="00FF07D9">
        <w:rPr>
          <w:b/>
          <w:sz w:val="28"/>
          <w:szCs w:val="28"/>
        </w:rPr>
        <w:t>September 2020</w:t>
      </w:r>
    </w:p>
    <w:p w14:paraId="52BA9928" w14:textId="65878AC6" w:rsidR="00CA641D" w:rsidRPr="00FF07D9" w:rsidRDefault="00CA641D" w:rsidP="00CA641D">
      <w:pPr>
        <w:rPr>
          <w:b/>
          <w:sz w:val="28"/>
          <w:szCs w:val="28"/>
        </w:rPr>
      </w:pPr>
      <w:r w:rsidRPr="00FF07D9">
        <w:rPr>
          <w:b/>
          <w:sz w:val="28"/>
          <w:szCs w:val="28"/>
        </w:rPr>
        <w:t>[</w:t>
      </w:r>
      <w:r w:rsidR="00FF07D9" w:rsidRPr="00FF07D9">
        <w:rPr>
          <w:b/>
          <w:sz w:val="28"/>
          <w:szCs w:val="28"/>
        </w:rPr>
        <w:t>135</w:t>
      </w:r>
      <w:r w:rsidRPr="00FF07D9">
        <w:rPr>
          <w:b/>
          <w:sz w:val="28"/>
          <w:szCs w:val="28"/>
        </w:rPr>
        <w:t>-</w:t>
      </w:r>
      <w:r w:rsidR="00FF07D9" w:rsidRPr="00FF07D9">
        <w:rPr>
          <w:b/>
          <w:sz w:val="28"/>
          <w:szCs w:val="28"/>
        </w:rPr>
        <w:t>20</w:t>
      </w:r>
      <w:r w:rsidRPr="00FF07D9">
        <w:rPr>
          <w:b/>
          <w:sz w:val="28"/>
          <w:szCs w:val="28"/>
        </w:rPr>
        <w:t>]</w:t>
      </w:r>
    </w:p>
    <w:p w14:paraId="5B92753D" w14:textId="77777777" w:rsidR="0057615C" w:rsidRPr="0057615C" w:rsidRDefault="0057615C" w:rsidP="00690206">
      <w:pPr>
        <w:pStyle w:val="FSTitle"/>
        <w:rPr>
          <w:b/>
          <w:sz w:val="22"/>
        </w:rPr>
      </w:pPr>
    </w:p>
    <w:p w14:paraId="1CA8799B" w14:textId="2C1E6C18" w:rsidR="00092CDA" w:rsidRPr="00A80AC2" w:rsidRDefault="00092CDA" w:rsidP="00690206">
      <w:pPr>
        <w:pStyle w:val="FSTitle"/>
        <w:rPr>
          <w:b/>
        </w:rPr>
      </w:pPr>
      <w:r w:rsidRPr="00A80AC2">
        <w:rPr>
          <w:b/>
        </w:rPr>
        <w:t>S</w:t>
      </w:r>
      <w:r w:rsidR="00B12F1E" w:rsidRPr="00A80AC2">
        <w:rPr>
          <w:b/>
        </w:rPr>
        <w:t>upporting document</w:t>
      </w:r>
      <w:r w:rsidRPr="00A80AC2">
        <w:rPr>
          <w:b/>
        </w:rPr>
        <w:t xml:space="preserve"> </w:t>
      </w:r>
      <w:r w:rsidR="00A80AC2" w:rsidRPr="00A80AC2">
        <w:rPr>
          <w:b/>
        </w:rPr>
        <w:t>1</w:t>
      </w:r>
    </w:p>
    <w:p w14:paraId="064DFDFD" w14:textId="77777777" w:rsidR="00BA24E2" w:rsidRPr="00A80AC2" w:rsidRDefault="00BA24E2" w:rsidP="00E203C2"/>
    <w:p w14:paraId="79157BBE" w14:textId="79271279" w:rsidR="00D056F1" w:rsidRPr="00A80AC2" w:rsidRDefault="001C025F" w:rsidP="00690206">
      <w:pPr>
        <w:pStyle w:val="FSTitle"/>
      </w:pPr>
      <w:r>
        <w:t>Safety</w:t>
      </w:r>
      <w:r w:rsidR="00320839" w:rsidRPr="00A80AC2">
        <w:t xml:space="preserve"> assessment</w:t>
      </w:r>
      <w:r w:rsidR="006B5EBE" w:rsidRPr="00A80AC2">
        <w:t xml:space="preserve"> – </w:t>
      </w:r>
      <w:r w:rsidR="00D056F1" w:rsidRPr="00A80AC2">
        <w:t>A</w:t>
      </w:r>
      <w:r w:rsidR="00B12F1E" w:rsidRPr="00A80AC2">
        <w:t>pplication</w:t>
      </w:r>
      <w:r w:rsidR="00A80AC2" w:rsidRPr="00A80AC2">
        <w:t xml:space="preserve"> A1196</w:t>
      </w:r>
    </w:p>
    <w:p w14:paraId="48392800" w14:textId="77777777" w:rsidR="00E203C2" w:rsidRPr="00A80AC2" w:rsidRDefault="00E203C2" w:rsidP="00690206"/>
    <w:p w14:paraId="53C06B21" w14:textId="3D4810DE" w:rsidR="00D056F1" w:rsidRPr="00A80AC2" w:rsidRDefault="00A80AC2" w:rsidP="00690206">
      <w:pPr>
        <w:pStyle w:val="FSTitle"/>
      </w:pPr>
      <w:r w:rsidRPr="00A80AC2">
        <w:t>Food derived from nematode-protected and herbicide-tolerant soybean line GMB151</w:t>
      </w:r>
    </w:p>
    <w:p w14:paraId="17DAB6BE" w14:textId="77777777" w:rsidR="00E203C2" w:rsidRPr="00B37BF0" w:rsidRDefault="00E203C2" w:rsidP="00E203C2">
      <w:pPr>
        <w:pBdr>
          <w:bottom w:val="single" w:sz="12" w:space="1" w:color="auto"/>
        </w:pBdr>
        <w:spacing w:line="280" w:lineRule="exact"/>
        <w:rPr>
          <w:rFonts w:cs="Arial"/>
          <w:bCs/>
        </w:rPr>
      </w:pPr>
    </w:p>
    <w:p w14:paraId="3CA16420" w14:textId="77777777" w:rsidR="00E203C2" w:rsidRPr="00B37BF0" w:rsidRDefault="00E203C2" w:rsidP="00E203C2"/>
    <w:p w14:paraId="168AF5F2" w14:textId="77777777" w:rsidR="00092CDA" w:rsidRPr="00092CDA" w:rsidRDefault="00092CDA" w:rsidP="00352CF2">
      <w:pPr>
        <w:pStyle w:val="Heading1"/>
        <w:spacing w:before="0"/>
      </w:pPr>
      <w:bookmarkStart w:id="0" w:name="_Toc286391001"/>
      <w:bookmarkStart w:id="1" w:name="_Toc300933414"/>
      <w:bookmarkStart w:id="2" w:name="_Toc453078193"/>
      <w:bookmarkStart w:id="3" w:name="_Toc34830882"/>
      <w:r w:rsidRPr="00092CDA">
        <w:t xml:space="preserve">Executive </w:t>
      </w:r>
      <w:r w:rsidR="00B12F1E">
        <w:t>s</w:t>
      </w:r>
      <w:r w:rsidRPr="00092CDA">
        <w:t>ummary</w:t>
      </w:r>
      <w:bookmarkEnd w:id="0"/>
      <w:bookmarkEnd w:id="1"/>
      <w:bookmarkEnd w:id="2"/>
      <w:bookmarkEnd w:id="3"/>
    </w:p>
    <w:p w14:paraId="56C143FD" w14:textId="77777777" w:rsidR="008E05EA" w:rsidRDefault="008E05EA" w:rsidP="00221257">
      <w:pPr>
        <w:pStyle w:val="Heading3"/>
      </w:pPr>
      <w:bookmarkStart w:id="4" w:name="_Toc497988118"/>
      <w:bookmarkStart w:id="5" w:name="_Toc499025601"/>
      <w:bookmarkStart w:id="6" w:name="_Toc499210266"/>
      <w:bookmarkStart w:id="7" w:name="_Toc499893656"/>
      <w:bookmarkStart w:id="8" w:name="_Toc500321319"/>
      <w:r>
        <w:t>Background</w:t>
      </w:r>
      <w:bookmarkEnd w:id="4"/>
      <w:bookmarkEnd w:id="5"/>
      <w:bookmarkEnd w:id="6"/>
      <w:bookmarkEnd w:id="7"/>
      <w:bookmarkEnd w:id="8"/>
    </w:p>
    <w:p w14:paraId="7EC5144C" w14:textId="6725F6E0" w:rsidR="003105A6" w:rsidRDefault="008E05EA" w:rsidP="008E05EA">
      <w:r>
        <w:t xml:space="preserve">A genetically modified (GM) </w:t>
      </w:r>
      <w:r w:rsidR="00CD17AC">
        <w:t xml:space="preserve">soybean </w:t>
      </w:r>
      <w:r>
        <w:t xml:space="preserve">line with OECD Unique Identifier </w:t>
      </w:r>
      <w:r w:rsidR="00CD17AC" w:rsidRPr="00CD17AC">
        <w:t>BCS-GM151-6</w:t>
      </w:r>
      <w:r>
        <w:t xml:space="preserve">, hereafter referred to as </w:t>
      </w:r>
      <w:r w:rsidR="00CD17AC" w:rsidRPr="00A80AC2">
        <w:t>GMB151</w:t>
      </w:r>
      <w:r>
        <w:t xml:space="preserve">, has been developed to be protected from </w:t>
      </w:r>
      <w:r w:rsidR="00CD17AC">
        <w:t>parasitic nematodes</w:t>
      </w:r>
      <w:r w:rsidR="003105A6">
        <w:t xml:space="preserve"> and tolerant to </w:t>
      </w:r>
      <w:r w:rsidR="009D114F" w:rsidRPr="00750160">
        <w:rPr>
          <w:color w:val="000000" w:themeColor="text1"/>
        </w:rPr>
        <w:t>p-hydroxyphenyl pyruvate</w:t>
      </w:r>
      <w:r w:rsidR="009D114F">
        <w:rPr>
          <w:color w:val="000000" w:themeColor="text1"/>
        </w:rPr>
        <w:t xml:space="preserve"> </w:t>
      </w:r>
      <w:r w:rsidR="009D114F" w:rsidRPr="00750160">
        <w:rPr>
          <w:color w:val="000000" w:themeColor="text1"/>
        </w:rPr>
        <w:t xml:space="preserve">dioxygenase </w:t>
      </w:r>
      <w:r w:rsidR="009D114F">
        <w:rPr>
          <w:color w:val="000000" w:themeColor="text1"/>
        </w:rPr>
        <w:t>(</w:t>
      </w:r>
      <w:r w:rsidR="003105A6">
        <w:t>HPPD</w:t>
      </w:r>
      <w:r w:rsidR="009D114F">
        <w:t>)</w:t>
      </w:r>
      <w:r w:rsidR="003105A6">
        <w:t xml:space="preserve"> inhibitor herbicides. </w:t>
      </w:r>
    </w:p>
    <w:p w14:paraId="7D7AAA47" w14:textId="77777777" w:rsidR="003105A6" w:rsidRDefault="003105A6" w:rsidP="008E05EA"/>
    <w:p w14:paraId="4F5A2577" w14:textId="2161BD7F" w:rsidR="008E05EA" w:rsidRDefault="003105A6" w:rsidP="008E05EA">
      <w:r>
        <w:t>Of the range of parasitic nematodes that target soybean</w:t>
      </w:r>
      <w:r w:rsidR="008E05EA">
        <w:t xml:space="preserve">, </w:t>
      </w:r>
      <w:r>
        <w:t xml:space="preserve">GMB151 is specifically protected against </w:t>
      </w:r>
      <w:r w:rsidR="008E05EA">
        <w:t xml:space="preserve">the </w:t>
      </w:r>
      <w:r w:rsidR="00CD17AC" w:rsidRPr="00CD17AC">
        <w:rPr>
          <w:color w:val="000000" w:themeColor="text1"/>
        </w:rPr>
        <w:t>soybean cyst nematode (</w:t>
      </w:r>
      <w:r w:rsidR="00CD17AC" w:rsidRPr="00CD17AC">
        <w:rPr>
          <w:i/>
          <w:color w:val="000000" w:themeColor="text1"/>
        </w:rPr>
        <w:t>Heterodera glycines</w:t>
      </w:r>
      <w:r w:rsidR="00CD17AC" w:rsidRPr="00CD17AC">
        <w:rPr>
          <w:color w:val="000000" w:themeColor="text1"/>
        </w:rPr>
        <w:t xml:space="preserve">) and </w:t>
      </w:r>
      <w:r w:rsidR="006D0197">
        <w:rPr>
          <w:color w:val="000000" w:themeColor="text1"/>
        </w:rPr>
        <w:t>root lesion nematode</w:t>
      </w:r>
      <w:r w:rsidR="00D244AB">
        <w:rPr>
          <w:color w:val="000000" w:themeColor="text1"/>
        </w:rPr>
        <w:t xml:space="preserve">s in the </w:t>
      </w:r>
      <w:r w:rsidR="00480128">
        <w:rPr>
          <w:color w:val="000000" w:themeColor="text1"/>
        </w:rPr>
        <w:t>genus</w:t>
      </w:r>
      <w:r w:rsidR="00D244AB">
        <w:rPr>
          <w:color w:val="000000" w:themeColor="text1"/>
        </w:rPr>
        <w:t xml:space="preserve"> </w:t>
      </w:r>
      <w:r w:rsidR="00CD17AC" w:rsidRPr="006D0197">
        <w:rPr>
          <w:i/>
          <w:color w:val="000000" w:themeColor="text1"/>
        </w:rPr>
        <w:t>Pratylenchus</w:t>
      </w:r>
      <w:r w:rsidR="008E05EA">
        <w:t xml:space="preserve">. This protection is achieved through expression of </w:t>
      </w:r>
      <w:r w:rsidR="00CD17AC">
        <w:t>the</w:t>
      </w:r>
      <w:r w:rsidR="008E05EA">
        <w:t xml:space="preserve"> </w:t>
      </w:r>
      <w:r w:rsidR="008E05EA" w:rsidRPr="00A2206D">
        <w:rPr>
          <w:i/>
        </w:rPr>
        <w:t>Bacillus thuringiensis</w:t>
      </w:r>
      <w:r w:rsidR="008E05EA">
        <w:t xml:space="preserve"> (Bt) gene</w:t>
      </w:r>
      <w:r w:rsidR="00CD17AC">
        <w:rPr>
          <w:i/>
        </w:rPr>
        <w:t xml:space="preserve"> cry14Ab-1.b</w:t>
      </w:r>
      <w:r w:rsidR="004C6265">
        <w:t>, which encodes a nove</w:t>
      </w:r>
      <w:bookmarkStart w:id="9" w:name="_GoBack"/>
      <w:bookmarkEnd w:id="9"/>
      <w:r w:rsidR="004C6265">
        <w:t>l Bt c</w:t>
      </w:r>
      <w:r w:rsidR="008E05EA">
        <w:t>ry</w:t>
      </w:r>
      <w:r w:rsidR="004C6265">
        <w:t>stal (Cry)</w:t>
      </w:r>
      <w:r w:rsidR="008E05EA">
        <w:t xml:space="preserve"> protein</w:t>
      </w:r>
      <w:r w:rsidR="001C2F6E">
        <w:t>,</w:t>
      </w:r>
      <w:r w:rsidR="00970D8E">
        <w:t xml:space="preserve"> designated </w:t>
      </w:r>
      <w:r w:rsidR="00970D8E">
        <w:rPr>
          <w:rFonts w:cs="Arial"/>
          <w:color w:val="000000" w:themeColor="text1"/>
          <w:szCs w:val="22"/>
          <w:lang w:val="en-US"/>
        </w:rPr>
        <w:t>Cry14Ab1</w:t>
      </w:r>
      <w:r w:rsidR="008E05EA">
        <w:t>.</w:t>
      </w:r>
      <w:r w:rsidR="006D0197">
        <w:t xml:space="preserve"> Tolerance to HPPD inhibitor herbicides, such as isoxaflutole, is conferred through expression of a modified </w:t>
      </w:r>
      <w:r w:rsidR="006D0197">
        <w:rPr>
          <w:color w:val="000000" w:themeColor="text1"/>
        </w:rPr>
        <w:t>HPPD enzyme</w:t>
      </w:r>
      <w:r w:rsidR="00340B26">
        <w:rPr>
          <w:color w:val="000000" w:themeColor="text1"/>
        </w:rPr>
        <w:t>, HPDD-4</w:t>
      </w:r>
      <w:r w:rsidR="006D0197">
        <w:rPr>
          <w:color w:val="000000" w:themeColor="text1"/>
        </w:rPr>
        <w:t xml:space="preserve">. The gene for this enzyme is based on the </w:t>
      </w:r>
      <w:r w:rsidR="00C242CA">
        <w:rPr>
          <w:color w:val="000000" w:themeColor="text1"/>
        </w:rPr>
        <w:t>sequence</w:t>
      </w:r>
      <w:r w:rsidR="006D0197">
        <w:rPr>
          <w:color w:val="000000" w:themeColor="text1"/>
        </w:rPr>
        <w:t xml:space="preserve"> from </w:t>
      </w:r>
      <w:r w:rsidR="006D0197" w:rsidRPr="006626EF">
        <w:rPr>
          <w:i/>
          <w:color w:val="000000" w:themeColor="text1"/>
        </w:rPr>
        <w:t>Pseudomonas fluorescens</w:t>
      </w:r>
      <w:r w:rsidR="006D0197" w:rsidRPr="006D0197">
        <w:rPr>
          <w:color w:val="000000" w:themeColor="text1"/>
        </w:rPr>
        <w:t>.</w:t>
      </w:r>
    </w:p>
    <w:p w14:paraId="505C16ED" w14:textId="77777777" w:rsidR="008E05EA" w:rsidRDefault="008E05EA" w:rsidP="008E05EA"/>
    <w:p w14:paraId="77E873FC" w14:textId="44776700" w:rsidR="008E05EA" w:rsidRDefault="008E05EA" w:rsidP="008E05EA">
      <w:r>
        <w:t xml:space="preserve">In conducting a safety assessment of food derived from </w:t>
      </w:r>
      <w:r w:rsidR="00CD17AC" w:rsidRPr="00A80AC2">
        <w:t>GMB151</w:t>
      </w:r>
      <w:r>
        <w:t xml:space="preserve">, a number of criteria have been addressed including: characterisation of the transferred genes including their origin, function and stability in the </w:t>
      </w:r>
      <w:r w:rsidR="003F1F24">
        <w:t>soybean</w:t>
      </w:r>
      <w:r>
        <w:t xml:space="preserve"> genome; the nature of the introduced proteins and their potential to be either allergenic or toxic in humans; compositional analyses and any resultant changes in the whole food. This approach evaluates the intended and any unintended changes in the plant.</w:t>
      </w:r>
    </w:p>
    <w:p w14:paraId="2BB68E59" w14:textId="77777777" w:rsidR="008E05EA" w:rsidRDefault="008E05EA" w:rsidP="008E05EA"/>
    <w:p w14:paraId="157FB34B" w14:textId="77777777" w:rsidR="008E05EA" w:rsidRDefault="008E05EA" w:rsidP="008E05EA">
      <w:r>
        <w:t xml:space="preserve">This safety assessment addresses only food safety and nutritional issues of the GM food. It therefore does not address: </w:t>
      </w:r>
    </w:p>
    <w:p w14:paraId="5F0DF83F" w14:textId="77777777" w:rsidR="008E05EA" w:rsidRDefault="008E05EA" w:rsidP="008E05EA"/>
    <w:p w14:paraId="35F964F9" w14:textId="77777777" w:rsidR="008E05EA" w:rsidRDefault="008E05EA" w:rsidP="008E05EA">
      <w:r>
        <w:t>•</w:t>
      </w:r>
      <w:r>
        <w:tab/>
        <w:t>risks related to the environmental release of GM plants used in food production</w:t>
      </w:r>
    </w:p>
    <w:p w14:paraId="3BA3875D" w14:textId="77777777" w:rsidR="008E05EA" w:rsidRDefault="008E05EA" w:rsidP="008E05EA">
      <w:r>
        <w:t>•</w:t>
      </w:r>
      <w:r>
        <w:tab/>
        <w:t>risks to animals that may consume feed derived from GM plants</w:t>
      </w:r>
    </w:p>
    <w:p w14:paraId="0B8CCBA3" w14:textId="77777777" w:rsidR="008E05EA" w:rsidRDefault="008E05EA" w:rsidP="008E05EA">
      <w:r>
        <w:t>•</w:t>
      </w:r>
      <w:r>
        <w:tab/>
        <w:t>the safety of food derived from the non-GM (conventional) plant.</w:t>
      </w:r>
    </w:p>
    <w:p w14:paraId="336CDF51" w14:textId="77777777" w:rsidR="008E05EA" w:rsidRDefault="008E05EA" w:rsidP="008E05EA"/>
    <w:p w14:paraId="72BFFB9E" w14:textId="77777777" w:rsidR="008E05EA" w:rsidRDefault="008E05EA" w:rsidP="008E05EA">
      <w:r>
        <w:t xml:space="preserve">Food derived from the non-GM (conventional) plant with an accepted history of safe use is used as the benchmark for the comparative analysis. </w:t>
      </w:r>
    </w:p>
    <w:p w14:paraId="4A24CA65" w14:textId="77777777" w:rsidR="008E05EA" w:rsidRDefault="008E05EA" w:rsidP="00221257">
      <w:pPr>
        <w:pStyle w:val="Heading3"/>
      </w:pPr>
      <w:bookmarkStart w:id="10" w:name="_Toc497988119"/>
      <w:bookmarkStart w:id="11" w:name="_Toc499025602"/>
      <w:bookmarkStart w:id="12" w:name="_Toc499210267"/>
      <w:bookmarkStart w:id="13" w:name="_Toc499893657"/>
      <w:bookmarkStart w:id="14" w:name="_Toc500321320"/>
      <w:r>
        <w:lastRenderedPageBreak/>
        <w:t>History of use</w:t>
      </w:r>
      <w:bookmarkEnd w:id="10"/>
      <w:bookmarkEnd w:id="11"/>
      <w:bookmarkEnd w:id="12"/>
      <w:bookmarkEnd w:id="13"/>
      <w:bookmarkEnd w:id="14"/>
    </w:p>
    <w:p w14:paraId="0075510C" w14:textId="0A163171" w:rsidR="008E05EA" w:rsidRDefault="008E05EA" w:rsidP="008E05EA">
      <w:r>
        <w:t xml:space="preserve">The host organism is cultivated </w:t>
      </w:r>
      <w:r w:rsidR="003105A6">
        <w:t>soybean</w:t>
      </w:r>
      <w:r>
        <w:t xml:space="preserve"> (</w:t>
      </w:r>
      <w:r w:rsidR="003105A6">
        <w:rPr>
          <w:i/>
        </w:rPr>
        <w:t>Glycine max</w:t>
      </w:r>
      <w:r>
        <w:t xml:space="preserve"> L.). </w:t>
      </w:r>
      <w:r w:rsidR="003105A6">
        <w:t>Soybean</w:t>
      </w:r>
      <w:r>
        <w:t xml:space="preserve"> </w:t>
      </w:r>
      <w:r w:rsidR="00C804F6">
        <w:t>has a long history of use as food and is cultivated in over 90 countries</w:t>
      </w:r>
      <w:r w:rsidR="00C55251">
        <w:t>.</w:t>
      </w:r>
      <w:r w:rsidR="00C804F6">
        <w:t xml:space="preserve"> Processed products derived from soybean grain, such as refined oil, lecithin, flour and protein concentrates are commonly used in cooking oils, margarines, infant formula, breakfast cereals and confectioneries.  </w:t>
      </w:r>
    </w:p>
    <w:p w14:paraId="2FB2F05C" w14:textId="77777777" w:rsidR="008E05EA" w:rsidRDefault="008E05EA" w:rsidP="00221257">
      <w:pPr>
        <w:pStyle w:val="Heading3"/>
      </w:pPr>
      <w:bookmarkStart w:id="15" w:name="_Toc497988120"/>
      <w:bookmarkStart w:id="16" w:name="_Toc499025603"/>
      <w:bookmarkStart w:id="17" w:name="_Toc499210268"/>
      <w:bookmarkStart w:id="18" w:name="_Toc499893658"/>
      <w:bookmarkStart w:id="19" w:name="_Toc500321321"/>
      <w:r>
        <w:t>Molecular characterisation</w:t>
      </w:r>
      <w:bookmarkEnd w:id="15"/>
      <w:bookmarkEnd w:id="16"/>
      <w:bookmarkEnd w:id="17"/>
      <w:bookmarkEnd w:id="18"/>
      <w:bookmarkEnd w:id="19"/>
    </w:p>
    <w:p w14:paraId="7EBBB955" w14:textId="1BE7D0EC" w:rsidR="008E05EA" w:rsidRDefault="008546BD" w:rsidP="008E05EA">
      <w:r>
        <w:t xml:space="preserve">Comprehensive analyses of soybean line GMB151 indicated there is a single copy of the insert containing both </w:t>
      </w:r>
      <w:r w:rsidR="00970D8E">
        <w:t>genes</w:t>
      </w:r>
      <w:r>
        <w:t>, with a small deletion and rearrangement of DNA at the left border. The small deletion remove</w:t>
      </w:r>
      <w:r w:rsidR="00970D8E">
        <w:t>s</w:t>
      </w:r>
      <w:r>
        <w:t xml:space="preserve"> some of the promoter sequence for</w:t>
      </w:r>
      <w:r w:rsidR="00D54F26">
        <w:t xml:space="preserve"> the</w:t>
      </w:r>
      <w:r>
        <w:t xml:space="preserve"> HPPD-4 gene but the enzyme is active, indicating this deletion does not impact expression.  </w:t>
      </w:r>
    </w:p>
    <w:p w14:paraId="02C1FB44" w14:textId="77777777" w:rsidR="008E05EA" w:rsidRDefault="008E05EA" w:rsidP="008E05EA"/>
    <w:p w14:paraId="66D1017E" w14:textId="208ACCCC" w:rsidR="008E05EA" w:rsidRDefault="008E05EA" w:rsidP="008E05EA">
      <w:r>
        <w:t xml:space="preserve">The introduced genetic elements and the expression of new proteins in </w:t>
      </w:r>
      <w:r w:rsidR="006D0197">
        <w:t>GMB151</w:t>
      </w:r>
      <w:r>
        <w:t xml:space="preserve"> were shown by </w:t>
      </w:r>
      <w:r w:rsidR="00D244AB">
        <w:t xml:space="preserve">DNA sequence analyses and </w:t>
      </w:r>
      <w:r>
        <w:t>phenotypic analys</w:t>
      </w:r>
      <w:r w:rsidR="00D244AB">
        <w:t>e</w:t>
      </w:r>
      <w:r>
        <w:t>s to be stably inherited from one generation to the next across multiple generations. The pattern of inheritance supports the conclusion that the</w:t>
      </w:r>
      <w:r w:rsidR="000C16A9">
        <w:t xml:space="preserve"> nematode-protective and</w:t>
      </w:r>
      <w:r>
        <w:t xml:space="preserve"> </w:t>
      </w:r>
      <w:r w:rsidRPr="000C16A9">
        <w:t>herbicide-tolerance traits</w:t>
      </w:r>
      <w:r>
        <w:t xml:space="preserve"> occur within a single locus in </w:t>
      </w:r>
      <w:r w:rsidR="001C2F6E">
        <w:t xml:space="preserve">the </w:t>
      </w:r>
      <w:r w:rsidR="006D0197">
        <w:t>GMB151</w:t>
      </w:r>
      <w:r>
        <w:t xml:space="preserve"> genome and are inherited in accordance with Mendelian principles.</w:t>
      </w:r>
    </w:p>
    <w:p w14:paraId="1F4113F2" w14:textId="5F51ACCE" w:rsidR="008E05EA" w:rsidRDefault="008E05EA" w:rsidP="00BA46A1">
      <w:pPr>
        <w:pStyle w:val="Heading3"/>
      </w:pPr>
      <w:bookmarkStart w:id="20" w:name="_Toc497988121"/>
      <w:bookmarkStart w:id="21" w:name="_Toc499025604"/>
      <w:bookmarkStart w:id="22" w:name="_Toc499210269"/>
      <w:bookmarkStart w:id="23" w:name="_Toc499893659"/>
      <w:bookmarkStart w:id="24" w:name="_Toc500321322"/>
      <w:r>
        <w:t>Characterisation and safety assessment of new substances</w:t>
      </w:r>
      <w:bookmarkEnd w:id="20"/>
      <w:bookmarkEnd w:id="21"/>
      <w:bookmarkEnd w:id="22"/>
      <w:bookmarkEnd w:id="23"/>
      <w:bookmarkEnd w:id="24"/>
    </w:p>
    <w:p w14:paraId="65013B56" w14:textId="36BC327E" w:rsidR="000750E3" w:rsidRDefault="000C16A9" w:rsidP="00DB2479">
      <w:r w:rsidRPr="00D618F3">
        <w:rPr>
          <w:rFonts w:cs="Arial"/>
          <w:color w:val="000000" w:themeColor="text1"/>
          <w:szCs w:val="22"/>
          <w:lang w:val="en-US"/>
        </w:rPr>
        <w:t xml:space="preserve">A range of characterisation studies confirmed the identity of </w:t>
      </w:r>
      <w:r w:rsidR="004D504D">
        <w:rPr>
          <w:rFonts w:cs="Arial"/>
          <w:color w:val="000000" w:themeColor="text1"/>
          <w:szCs w:val="22"/>
          <w:lang w:val="en-US"/>
        </w:rPr>
        <w:t>Cry14Ab1</w:t>
      </w:r>
      <w:r>
        <w:rPr>
          <w:rFonts w:cs="Arial"/>
          <w:color w:val="000000" w:themeColor="text1"/>
          <w:szCs w:val="22"/>
          <w:lang w:val="en-US"/>
        </w:rPr>
        <w:t xml:space="preserve"> and HPPD-</w:t>
      </w:r>
      <w:r w:rsidRPr="000C16A9">
        <w:rPr>
          <w:rFonts w:cs="Arial"/>
          <w:color w:val="000000" w:themeColor="text1"/>
          <w:szCs w:val="22"/>
          <w:lang w:val="en-US"/>
        </w:rPr>
        <w:t>4</w:t>
      </w:r>
      <w:r w:rsidRPr="00D618F3">
        <w:rPr>
          <w:rFonts w:cs="Arial"/>
          <w:color w:val="000000" w:themeColor="text1"/>
          <w:szCs w:val="22"/>
          <w:lang w:val="en-US"/>
        </w:rPr>
        <w:t xml:space="preserve"> </w:t>
      </w:r>
      <w:r>
        <w:rPr>
          <w:rFonts w:cs="Arial"/>
          <w:color w:val="000000" w:themeColor="text1"/>
          <w:szCs w:val="22"/>
          <w:lang w:val="en-US"/>
        </w:rPr>
        <w:t>expressed in</w:t>
      </w:r>
      <w:r w:rsidRPr="00D618F3">
        <w:rPr>
          <w:rFonts w:cs="Arial"/>
          <w:color w:val="000000" w:themeColor="text1"/>
          <w:szCs w:val="22"/>
          <w:lang w:val="en-US"/>
        </w:rPr>
        <w:t xml:space="preserve"> </w:t>
      </w:r>
      <w:r>
        <w:rPr>
          <w:rFonts w:cs="Arial"/>
          <w:color w:val="000000" w:themeColor="text1"/>
          <w:szCs w:val="22"/>
          <w:lang w:val="en-US"/>
        </w:rPr>
        <w:t>soybean</w:t>
      </w:r>
      <w:r w:rsidRPr="00D618F3">
        <w:rPr>
          <w:rFonts w:cs="Arial"/>
          <w:color w:val="000000" w:themeColor="text1"/>
          <w:szCs w:val="22"/>
          <w:lang w:val="en-US"/>
        </w:rPr>
        <w:t xml:space="preserve"> line </w:t>
      </w:r>
      <w:r>
        <w:rPr>
          <w:rFonts w:cs="Arial"/>
          <w:color w:val="000000" w:themeColor="text1"/>
          <w:szCs w:val="22"/>
          <w:lang w:val="en-US"/>
        </w:rPr>
        <w:t>GMB151</w:t>
      </w:r>
      <w:r w:rsidRPr="00D618F3">
        <w:rPr>
          <w:rFonts w:cs="Arial"/>
          <w:color w:val="000000" w:themeColor="text1"/>
          <w:szCs w:val="22"/>
          <w:lang w:val="en-US"/>
        </w:rPr>
        <w:t xml:space="preserve">. The plant </w:t>
      </w:r>
      <w:r w:rsidR="004D504D">
        <w:rPr>
          <w:rFonts w:cs="Arial"/>
          <w:color w:val="000000" w:themeColor="text1"/>
          <w:szCs w:val="22"/>
          <w:lang w:val="en-US"/>
        </w:rPr>
        <w:t>Cry14Ab1</w:t>
      </w:r>
      <w:r>
        <w:rPr>
          <w:rFonts w:cs="Arial"/>
          <w:color w:val="000000" w:themeColor="text1"/>
          <w:szCs w:val="22"/>
          <w:lang w:val="en-US"/>
        </w:rPr>
        <w:t xml:space="preserve"> and HPPD-</w:t>
      </w:r>
      <w:r w:rsidRPr="000C16A9">
        <w:rPr>
          <w:rFonts w:cs="Arial"/>
          <w:color w:val="000000" w:themeColor="text1"/>
          <w:szCs w:val="22"/>
          <w:lang w:val="en-US"/>
        </w:rPr>
        <w:t>4</w:t>
      </w:r>
      <w:r w:rsidRPr="00D618F3">
        <w:rPr>
          <w:rFonts w:cs="Arial"/>
          <w:color w:val="000000" w:themeColor="text1"/>
          <w:szCs w:val="22"/>
          <w:lang w:val="en-US"/>
        </w:rPr>
        <w:t xml:space="preserve"> proteins ha</w:t>
      </w:r>
      <w:r>
        <w:rPr>
          <w:rFonts w:cs="Arial"/>
          <w:color w:val="000000" w:themeColor="text1"/>
          <w:szCs w:val="22"/>
          <w:lang w:val="en-US"/>
        </w:rPr>
        <w:t>d</w:t>
      </w:r>
      <w:r w:rsidRPr="00D618F3">
        <w:rPr>
          <w:rFonts w:cs="Arial"/>
          <w:color w:val="000000" w:themeColor="text1"/>
          <w:szCs w:val="22"/>
          <w:lang w:val="en-US"/>
        </w:rPr>
        <w:t xml:space="preserve"> the expected molecular weight</w:t>
      </w:r>
      <w:r>
        <w:rPr>
          <w:rFonts w:cs="Arial"/>
          <w:color w:val="000000" w:themeColor="text1"/>
          <w:szCs w:val="22"/>
          <w:lang w:val="en-US"/>
        </w:rPr>
        <w:t>s</w:t>
      </w:r>
      <w:r w:rsidRPr="00D618F3">
        <w:rPr>
          <w:rFonts w:cs="Arial"/>
          <w:color w:val="000000" w:themeColor="text1"/>
          <w:szCs w:val="22"/>
          <w:lang w:val="en-US"/>
        </w:rPr>
        <w:t xml:space="preserve"> (</w:t>
      </w:r>
      <w:r>
        <w:rPr>
          <w:rFonts w:cs="Arial"/>
          <w:color w:val="000000" w:themeColor="text1"/>
          <w:szCs w:val="22"/>
          <w:lang w:val="en-US"/>
        </w:rPr>
        <w:t>131.5</w:t>
      </w:r>
      <w:r w:rsidRPr="00D618F3">
        <w:rPr>
          <w:rFonts w:cs="Arial"/>
          <w:color w:val="000000" w:themeColor="text1"/>
          <w:szCs w:val="22"/>
          <w:lang w:val="en-US"/>
        </w:rPr>
        <w:t xml:space="preserve"> kDa and </w:t>
      </w:r>
      <w:r>
        <w:rPr>
          <w:rFonts w:cs="Arial"/>
          <w:color w:val="000000" w:themeColor="text1"/>
          <w:szCs w:val="22"/>
          <w:lang w:val="en-US"/>
        </w:rPr>
        <w:t>40</w:t>
      </w:r>
      <w:r w:rsidRPr="00D618F3">
        <w:rPr>
          <w:rFonts w:cs="Arial"/>
          <w:color w:val="000000" w:themeColor="text1"/>
          <w:szCs w:val="22"/>
          <w:lang w:val="en-US"/>
        </w:rPr>
        <w:t xml:space="preserve"> kDa r</w:t>
      </w:r>
      <w:r>
        <w:rPr>
          <w:rFonts w:cs="Arial"/>
          <w:color w:val="000000" w:themeColor="text1"/>
          <w:szCs w:val="22"/>
          <w:lang w:val="en-US"/>
        </w:rPr>
        <w:t xml:space="preserve">espectively), </w:t>
      </w:r>
      <w:r w:rsidRPr="00D618F3">
        <w:rPr>
          <w:rFonts w:cs="Arial"/>
          <w:color w:val="000000" w:themeColor="text1"/>
          <w:szCs w:val="22"/>
          <w:lang w:val="en-US"/>
        </w:rPr>
        <w:t>amino acid sequence</w:t>
      </w:r>
      <w:r>
        <w:rPr>
          <w:rFonts w:cs="Arial"/>
          <w:color w:val="000000" w:themeColor="text1"/>
          <w:szCs w:val="22"/>
          <w:lang w:val="en-US"/>
        </w:rPr>
        <w:t xml:space="preserve">, </w:t>
      </w:r>
      <w:r w:rsidR="00DB2479">
        <w:rPr>
          <w:rFonts w:cs="Arial"/>
          <w:color w:val="000000" w:themeColor="text1"/>
          <w:szCs w:val="22"/>
          <w:lang w:val="en-US"/>
        </w:rPr>
        <w:t xml:space="preserve">immunoreactivity, </w:t>
      </w:r>
      <w:r w:rsidRPr="00D618F3">
        <w:rPr>
          <w:rFonts w:cs="Arial"/>
          <w:color w:val="000000" w:themeColor="text1"/>
          <w:szCs w:val="22"/>
          <w:lang w:val="en-US"/>
        </w:rPr>
        <w:t xml:space="preserve">lack of glycosylation, and enzyme activity. </w:t>
      </w:r>
      <w:r w:rsidR="001537E5">
        <w:t>E</w:t>
      </w:r>
      <w:r w:rsidR="00DB2479">
        <w:t>quivalent form</w:t>
      </w:r>
      <w:r w:rsidR="001537E5">
        <w:t>s</w:t>
      </w:r>
      <w:r w:rsidR="00DB2479">
        <w:t xml:space="preserve"> of Cry14Ab1 </w:t>
      </w:r>
      <w:r w:rsidR="001537E5">
        <w:t xml:space="preserve">and HPPD-4 </w:t>
      </w:r>
      <w:r w:rsidR="00DB2479">
        <w:t xml:space="preserve">expressed in bacteria </w:t>
      </w:r>
      <w:r w:rsidR="001537E5">
        <w:t xml:space="preserve">were </w:t>
      </w:r>
      <w:r w:rsidR="00DB2479" w:rsidRPr="00340C3F">
        <w:t xml:space="preserve">heat labile </w:t>
      </w:r>
      <w:r w:rsidR="00DB2479">
        <w:t xml:space="preserve">and </w:t>
      </w:r>
      <w:r w:rsidR="00DB2479" w:rsidRPr="00340C3F">
        <w:t xml:space="preserve">readily digested </w:t>
      </w:r>
      <w:r w:rsidR="001537E5">
        <w:t xml:space="preserve">in </w:t>
      </w:r>
      <w:r w:rsidR="001537E5" w:rsidRPr="001537E5">
        <w:rPr>
          <w:i/>
        </w:rPr>
        <w:t>in vitro</w:t>
      </w:r>
      <w:r w:rsidR="001537E5">
        <w:t xml:space="preserve"> studies</w:t>
      </w:r>
      <w:r w:rsidR="00193BC7">
        <w:t>.</w:t>
      </w:r>
      <w:r w:rsidR="00DB2479" w:rsidRPr="00340C3F">
        <w:t xml:space="preserve"> </w:t>
      </w:r>
    </w:p>
    <w:p w14:paraId="1810197B" w14:textId="77777777" w:rsidR="000750E3" w:rsidRDefault="000750E3" w:rsidP="00DB2479"/>
    <w:p w14:paraId="35AD4EC8" w14:textId="0B76E932" w:rsidR="00DB2479" w:rsidRDefault="001537E5" w:rsidP="00DB2479">
      <w:r>
        <w:t>B</w:t>
      </w:r>
      <w:r w:rsidR="00DB2479" w:rsidRPr="00340C3F">
        <w:t xml:space="preserve">ioinformatic analyses of </w:t>
      </w:r>
      <w:r w:rsidR="00DB2479">
        <w:t>Cry14Ab1</w:t>
      </w:r>
      <w:r w:rsidR="00DB2479" w:rsidRPr="00340C3F">
        <w:t xml:space="preserve"> </w:t>
      </w:r>
      <w:r w:rsidR="000750E3">
        <w:t xml:space="preserve">and HPPD-4 </w:t>
      </w:r>
      <w:r w:rsidR="00DB2479" w:rsidRPr="00340C3F">
        <w:t>confirmed the absence of similarity to known allergen</w:t>
      </w:r>
      <w:r w:rsidR="000750E3">
        <w:t xml:space="preserve">s. </w:t>
      </w:r>
      <w:r w:rsidR="000750E3" w:rsidRPr="005C0C9A">
        <w:t xml:space="preserve">HPPD-4 </w:t>
      </w:r>
      <w:r>
        <w:t>also has</w:t>
      </w:r>
      <w:r w:rsidR="000750E3" w:rsidRPr="005C0C9A">
        <w:t xml:space="preserve"> no similarity to known toxins and Cry14Ab1 only showed similarity to other Cry protein toxins as expected. </w:t>
      </w:r>
      <w:r>
        <w:t>Animal toxicity</w:t>
      </w:r>
      <w:r w:rsidR="00451A92" w:rsidRPr="005C0C9A">
        <w:t xml:space="preserve"> studies </w:t>
      </w:r>
      <w:r w:rsidR="001A55C6">
        <w:t xml:space="preserve">performed on both proteins </w:t>
      </w:r>
      <w:r>
        <w:t>also confirmed</w:t>
      </w:r>
      <w:r w:rsidRPr="005C0C9A">
        <w:t xml:space="preserve"> </w:t>
      </w:r>
      <w:r>
        <w:t>the absence of toxicity in</w:t>
      </w:r>
      <w:r w:rsidR="00E871B3">
        <w:t xml:space="preserve"> </w:t>
      </w:r>
      <w:r w:rsidR="006F3EF5">
        <w:t>mice</w:t>
      </w:r>
      <w:r w:rsidR="005C0C9A">
        <w:t>.</w:t>
      </w:r>
    </w:p>
    <w:p w14:paraId="0E20EC24" w14:textId="77777777" w:rsidR="000C16A9" w:rsidRDefault="000C16A9" w:rsidP="008E05EA">
      <w:pPr>
        <w:rPr>
          <w:rFonts w:cs="Arial"/>
          <w:color w:val="000000" w:themeColor="text1"/>
          <w:szCs w:val="22"/>
          <w:lang w:val="en-US"/>
        </w:rPr>
      </w:pPr>
    </w:p>
    <w:p w14:paraId="1EA6EAAE" w14:textId="28C733E0" w:rsidR="008E05EA" w:rsidRPr="005F67DC" w:rsidRDefault="004D504D" w:rsidP="008E05EA">
      <w:r>
        <w:t>Cry14Ab1</w:t>
      </w:r>
      <w:r w:rsidR="008E05EA" w:rsidRPr="005F67DC">
        <w:t xml:space="preserve"> was detected in </w:t>
      </w:r>
      <w:r w:rsidR="005F67DC" w:rsidRPr="005F67DC">
        <w:t>whole seed and hull</w:t>
      </w:r>
      <w:r w:rsidR="008E05EA" w:rsidRPr="005F67DC">
        <w:t xml:space="preserve"> analysed from </w:t>
      </w:r>
      <w:r w:rsidR="005F67DC" w:rsidRPr="005F67DC">
        <w:t>GMB151</w:t>
      </w:r>
      <w:r w:rsidR="008E05EA" w:rsidRPr="005F67DC">
        <w:t xml:space="preserve">. Expression of the protein was highest in </w:t>
      </w:r>
      <w:r w:rsidR="005F67DC" w:rsidRPr="005F67DC">
        <w:t>the whole seed</w:t>
      </w:r>
      <w:r w:rsidR="008E05EA" w:rsidRPr="005F67DC">
        <w:t xml:space="preserve">. The mean level in </w:t>
      </w:r>
      <w:r w:rsidR="005F67DC">
        <w:t xml:space="preserve">the whole </w:t>
      </w:r>
      <w:r w:rsidR="008E05EA" w:rsidRPr="005F67DC">
        <w:t xml:space="preserve">seed </w:t>
      </w:r>
      <w:r w:rsidR="00D428FB">
        <w:t>range</w:t>
      </w:r>
      <w:r w:rsidR="00DB2479">
        <w:t>d</w:t>
      </w:r>
      <w:r w:rsidR="00D428FB">
        <w:t xml:space="preserve"> from</w:t>
      </w:r>
      <w:r w:rsidR="008E05EA" w:rsidRPr="005F67DC">
        <w:t xml:space="preserve"> </w:t>
      </w:r>
      <w:r w:rsidR="005F67DC" w:rsidRPr="005F67DC">
        <w:t>72</w:t>
      </w:r>
      <w:r w:rsidR="00D428FB">
        <w:t>-82</w:t>
      </w:r>
      <w:r w:rsidR="008E05EA" w:rsidRPr="005F67DC">
        <w:t xml:space="preserve"> µg/g dry weight, which corresponds to ~0.0</w:t>
      </w:r>
      <w:r w:rsidR="005F67DC" w:rsidRPr="005F67DC">
        <w:t>20</w:t>
      </w:r>
      <w:r w:rsidR="008E05EA" w:rsidRPr="005F67DC">
        <w:t>% of total protein.</w:t>
      </w:r>
      <w:r w:rsidR="00D244AB">
        <w:t xml:space="preserve"> HPPD-4 was also detected in the whole seed, hull and protein isolate, with highest expression in the whole seed. </w:t>
      </w:r>
      <w:r w:rsidR="00D244AB" w:rsidRPr="005F67DC">
        <w:t xml:space="preserve">The mean level in </w:t>
      </w:r>
      <w:r w:rsidR="00D244AB">
        <w:t xml:space="preserve">the whole </w:t>
      </w:r>
      <w:r w:rsidR="00D244AB" w:rsidRPr="005F67DC">
        <w:t xml:space="preserve">seed </w:t>
      </w:r>
      <w:r w:rsidR="00DB2479">
        <w:t>ranged from</w:t>
      </w:r>
      <w:r w:rsidR="00D244AB" w:rsidRPr="005F67DC">
        <w:t xml:space="preserve"> </w:t>
      </w:r>
      <w:r w:rsidR="00DB2479">
        <w:t>3.34-4.91</w:t>
      </w:r>
      <w:r w:rsidR="00D244AB" w:rsidRPr="005F67DC">
        <w:t xml:space="preserve"> µg/g dry weight, which corresponds to ~0.0</w:t>
      </w:r>
      <w:r w:rsidR="00DB2479">
        <w:t>01</w:t>
      </w:r>
      <w:r w:rsidR="00D244AB" w:rsidRPr="005F67DC">
        <w:t>% of total protein</w:t>
      </w:r>
      <w:r w:rsidR="00DB2479">
        <w:t>.</w:t>
      </w:r>
    </w:p>
    <w:p w14:paraId="36A4243D" w14:textId="77777777" w:rsidR="008E05EA" w:rsidRDefault="008E05EA" w:rsidP="00221257">
      <w:pPr>
        <w:pStyle w:val="Heading3"/>
      </w:pPr>
      <w:bookmarkStart w:id="25" w:name="_Toc497988122"/>
      <w:bookmarkStart w:id="26" w:name="_Toc499025605"/>
      <w:bookmarkStart w:id="27" w:name="_Toc499210270"/>
      <w:bookmarkStart w:id="28" w:name="_Toc499893660"/>
      <w:bookmarkStart w:id="29" w:name="_Toc500321323"/>
      <w:r>
        <w:t>Compositional analyses</w:t>
      </w:r>
      <w:bookmarkEnd w:id="25"/>
      <w:bookmarkEnd w:id="26"/>
      <w:bookmarkEnd w:id="27"/>
      <w:bookmarkEnd w:id="28"/>
      <w:bookmarkEnd w:id="29"/>
    </w:p>
    <w:p w14:paraId="520F1957" w14:textId="2AA68A75" w:rsidR="008E05EA" w:rsidRPr="006D0197" w:rsidRDefault="008E05EA" w:rsidP="008E05EA">
      <w:pPr>
        <w:rPr>
          <w:highlight w:val="yellow"/>
        </w:rPr>
      </w:pPr>
      <w:r w:rsidRPr="007B7DAA">
        <w:t xml:space="preserve">Detailed compositional analyses were done on </w:t>
      </w:r>
      <w:r w:rsidR="007B7DAA" w:rsidRPr="007B7DAA">
        <w:t>grain</w:t>
      </w:r>
      <w:r w:rsidRPr="007B7DAA">
        <w:t xml:space="preserve"> from </w:t>
      </w:r>
      <w:r w:rsidR="007B7DAA" w:rsidRPr="007B7DAA">
        <w:t>GMB151</w:t>
      </w:r>
      <w:r w:rsidR="007B7DAA">
        <w:t>,</w:t>
      </w:r>
      <w:r w:rsidRPr="007B7DAA">
        <w:t xml:space="preserve"> the control </w:t>
      </w:r>
      <w:r w:rsidR="007B7DAA" w:rsidRPr="007B7DAA">
        <w:t>Thorpe</w:t>
      </w:r>
      <w:r w:rsidRPr="007B7DAA">
        <w:t xml:space="preserve"> cultivar</w:t>
      </w:r>
      <w:r w:rsidR="007B7DAA">
        <w:t xml:space="preserve"> and several commercial non-GM soybean lines. The plants were</w:t>
      </w:r>
      <w:r w:rsidRPr="007B7DAA">
        <w:t xml:space="preserve"> grown under normal agricultural conditions over </w:t>
      </w:r>
      <w:r w:rsidR="007B7DAA">
        <w:t>eight</w:t>
      </w:r>
      <w:r w:rsidRPr="007B7DAA">
        <w:t xml:space="preserve"> field-trial sites, located in traditional </w:t>
      </w:r>
      <w:r w:rsidR="003F1F24" w:rsidRPr="007B7DAA">
        <w:t>soybean</w:t>
      </w:r>
      <w:r w:rsidRPr="007B7DAA">
        <w:t xml:space="preserve"> growing regions of the USA. The analyses included proximate</w:t>
      </w:r>
      <w:r w:rsidR="007B7DAA">
        <w:t>s (protein, fat, ash, moisture</w:t>
      </w:r>
      <w:r w:rsidRPr="007B7DAA">
        <w:t>), fibre components, fatty acids, amino acids, minerals, vitamins and anti-nutrients. The levels of</w:t>
      </w:r>
      <w:r w:rsidR="007B7DAA">
        <w:t xml:space="preserve"> </w:t>
      </w:r>
      <w:r w:rsidR="007B7DAA" w:rsidRPr="007B7DAA">
        <w:t>81</w:t>
      </w:r>
      <w:r w:rsidRPr="007B7DAA">
        <w:t xml:space="preserve"> of these key analytes in </w:t>
      </w:r>
      <w:r w:rsidR="007B7DAA" w:rsidRPr="007B7DAA">
        <w:t>GMB151</w:t>
      </w:r>
      <w:r w:rsidRPr="007B7DAA">
        <w:t xml:space="preserve"> were compared to those </w:t>
      </w:r>
      <w:r w:rsidR="007B7DAA" w:rsidRPr="007B7DAA">
        <w:t>of</w:t>
      </w:r>
      <w:r w:rsidRPr="007B7DAA">
        <w:t xml:space="preserve"> the control and </w:t>
      </w:r>
      <w:r w:rsidR="007B7DAA" w:rsidRPr="007B7DAA">
        <w:t xml:space="preserve">non-GM lines. </w:t>
      </w:r>
    </w:p>
    <w:p w14:paraId="284C0F00" w14:textId="77777777" w:rsidR="008E05EA" w:rsidRPr="006D0197" w:rsidRDefault="008E05EA" w:rsidP="008E05EA">
      <w:pPr>
        <w:rPr>
          <w:highlight w:val="yellow"/>
        </w:rPr>
      </w:pPr>
    </w:p>
    <w:p w14:paraId="08E8382A" w14:textId="52D4BD57" w:rsidR="008E05EA" w:rsidRDefault="008E05EA" w:rsidP="008E05EA">
      <w:r w:rsidRPr="007B7DAA">
        <w:t xml:space="preserve">Statistically significant differences were found between seeds from </w:t>
      </w:r>
      <w:r w:rsidR="007B7DAA" w:rsidRPr="007B7DAA">
        <w:t>GMB151</w:t>
      </w:r>
      <w:r w:rsidRPr="007B7DAA">
        <w:t xml:space="preserve"> and the control fo</w:t>
      </w:r>
      <w:r w:rsidRPr="00E461DC">
        <w:t xml:space="preserve">r </w:t>
      </w:r>
      <w:r w:rsidR="00E461DC" w:rsidRPr="00E461DC">
        <w:t>22</w:t>
      </w:r>
      <w:r w:rsidRPr="00E461DC">
        <w:t xml:space="preserve"> </w:t>
      </w:r>
      <w:r w:rsidRPr="007B7DAA">
        <w:t xml:space="preserve">of the analytes measured, however all differences were small in magnitude and were within the range established for existing commercial </w:t>
      </w:r>
      <w:r w:rsidR="003F1F24" w:rsidRPr="007B7DAA">
        <w:t>soybean</w:t>
      </w:r>
      <w:r w:rsidRPr="007B7DAA">
        <w:t xml:space="preserve"> varieties. Overall, the compositional data support the conclusion that there are no biologically significant differences in the levels of key constit</w:t>
      </w:r>
      <w:r w:rsidR="007B7DAA" w:rsidRPr="007B7DAA">
        <w:t>uents in grain</w:t>
      </w:r>
      <w:r w:rsidRPr="007B7DAA">
        <w:t xml:space="preserve"> from </w:t>
      </w:r>
      <w:r w:rsidR="007B7DAA" w:rsidRPr="007B7DAA">
        <w:t>GMB151</w:t>
      </w:r>
      <w:r w:rsidRPr="007B7DAA">
        <w:t xml:space="preserve"> compared to conventional </w:t>
      </w:r>
      <w:r w:rsidR="003F1F24" w:rsidRPr="007B7DAA">
        <w:t>soybean</w:t>
      </w:r>
      <w:r w:rsidRPr="007B7DAA">
        <w:t xml:space="preserve"> varieties available on the market.</w:t>
      </w:r>
    </w:p>
    <w:p w14:paraId="4FBF4978" w14:textId="77777777" w:rsidR="008E05EA" w:rsidRDefault="008E05EA" w:rsidP="00221257">
      <w:pPr>
        <w:pStyle w:val="Heading3"/>
      </w:pPr>
      <w:bookmarkStart w:id="30" w:name="_Toc497988123"/>
      <w:bookmarkStart w:id="31" w:name="_Toc499025606"/>
      <w:bookmarkStart w:id="32" w:name="_Toc499210271"/>
      <w:bookmarkStart w:id="33" w:name="_Toc499893661"/>
      <w:bookmarkStart w:id="34" w:name="_Toc500321324"/>
      <w:r>
        <w:t>Conclusion</w:t>
      </w:r>
      <w:bookmarkEnd w:id="30"/>
      <w:bookmarkEnd w:id="31"/>
      <w:bookmarkEnd w:id="32"/>
      <w:bookmarkEnd w:id="33"/>
      <w:bookmarkEnd w:id="34"/>
    </w:p>
    <w:p w14:paraId="787272DB" w14:textId="064BC379" w:rsidR="008E05EA" w:rsidRDefault="008E05EA" w:rsidP="008E05EA">
      <w:r>
        <w:t xml:space="preserve">No potential public health and safety concerns have been identified in the assessment of </w:t>
      </w:r>
      <w:r w:rsidR="006D0197">
        <w:t>GMB151</w:t>
      </w:r>
      <w:r>
        <w:t xml:space="preserve">. On the basis of the data provided in the present </w:t>
      </w:r>
      <w:r w:rsidR="001C2F6E">
        <w:t>application</w:t>
      </w:r>
      <w:r>
        <w:t xml:space="preserve">, and other available information, food derived from </w:t>
      </w:r>
      <w:r w:rsidR="006D0197">
        <w:t>GMB151</w:t>
      </w:r>
      <w:r>
        <w:t xml:space="preserve"> is considered to be as safe for human consumption as food derived from conventional </w:t>
      </w:r>
      <w:r w:rsidR="003F1F24">
        <w:t>soybean</w:t>
      </w:r>
      <w:r>
        <w:t xml:space="preserve"> varieties.</w:t>
      </w:r>
    </w:p>
    <w:p w14:paraId="59AD3BD6" w14:textId="77777777" w:rsidR="008E05EA" w:rsidRDefault="008E05EA" w:rsidP="008E05EA"/>
    <w:p w14:paraId="6C0A01FA" w14:textId="77777777" w:rsidR="00092CDA" w:rsidRDefault="00092CDA" w:rsidP="00690206"/>
    <w:p w14:paraId="56FAD572" w14:textId="77777777" w:rsidR="00092CDA" w:rsidRDefault="00092CDA" w:rsidP="00690206"/>
    <w:p w14:paraId="6FDB598B" w14:textId="77777777" w:rsidR="00092CDA" w:rsidRDefault="00092CDA" w:rsidP="00690206">
      <w:pPr>
        <w:sectPr w:rsidR="00092CDA" w:rsidSect="0054272D">
          <w:pgSz w:w="11906" w:h="16838"/>
          <w:pgMar w:top="1418" w:right="1418" w:bottom="1418" w:left="1418" w:header="709" w:footer="709" w:gutter="0"/>
          <w:pgNumType w:fmt="lowerRoman" w:start="1"/>
          <w:cols w:space="708"/>
          <w:docGrid w:linePitch="360"/>
        </w:sectPr>
      </w:pPr>
    </w:p>
    <w:p w14:paraId="4D070F40" w14:textId="77777777" w:rsidR="00562917" w:rsidRPr="00D9620E" w:rsidRDefault="00562917" w:rsidP="002A3314">
      <w:pPr>
        <w:pStyle w:val="TOCHeading"/>
        <w:rPr>
          <w:b w:val="0"/>
          <w:sz w:val="32"/>
        </w:rPr>
      </w:pPr>
      <w:r w:rsidRPr="00D9620E">
        <w:rPr>
          <w:b w:val="0"/>
          <w:sz w:val="32"/>
        </w:rPr>
        <w:t xml:space="preserve">Table of </w:t>
      </w:r>
      <w:r w:rsidR="00A77BFA" w:rsidRPr="00D9620E">
        <w:rPr>
          <w:b w:val="0"/>
          <w:sz w:val="32"/>
        </w:rPr>
        <w:t>c</w:t>
      </w:r>
      <w:r w:rsidRPr="00D9620E">
        <w:rPr>
          <w:b w:val="0"/>
          <w:sz w:val="32"/>
        </w:rPr>
        <w:t>ontents</w:t>
      </w:r>
    </w:p>
    <w:p w14:paraId="4AA0134E" w14:textId="652FE916" w:rsidR="00C55251" w:rsidRDefault="00C55251">
      <w:pPr>
        <w:pStyle w:val="TOC1"/>
        <w:tabs>
          <w:tab w:val="right" w:leader="dot" w:pos="9060"/>
        </w:tabs>
        <w:rPr>
          <w:rFonts w:asciiTheme="minorHAnsi" w:eastAsiaTheme="minorEastAsia" w:hAnsiTheme="minorHAnsi" w:cstheme="minorBidi"/>
          <w:b w:val="0"/>
          <w:bCs w:val="0"/>
          <w:caps w:val="0"/>
          <w:noProof/>
          <w:sz w:val="22"/>
          <w:szCs w:val="22"/>
          <w:lang w:eastAsia="en-GB" w:bidi="ar-SA"/>
        </w:rPr>
      </w:pPr>
      <w:r>
        <w:rPr>
          <w:rFonts w:cs="Arial"/>
          <w:b w:val="0"/>
          <w:bCs w:val="0"/>
          <w:caps w:val="0"/>
        </w:rPr>
        <w:fldChar w:fldCharType="begin"/>
      </w:r>
      <w:r>
        <w:rPr>
          <w:rFonts w:cs="Arial"/>
          <w:b w:val="0"/>
          <w:bCs w:val="0"/>
          <w:caps w:val="0"/>
        </w:rPr>
        <w:instrText xml:space="preserve"> TOC \o "1-2" \h \z \u </w:instrText>
      </w:r>
      <w:r>
        <w:rPr>
          <w:rFonts w:cs="Arial"/>
          <w:b w:val="0"/>
          <w:bCs w:val="0"/>
          <w:caps w:val="0"/>
        </w:rPr>
        <w:fldChar w:fldCharType="separate"/>
      </w:r>
      <w:hyperlink w:anchor="_Toc34830882" w:history="1">
        <w:r w:rsidRPr="00586DC6">
          <w:rPr>
            <w:rStyle w:val="Hyperlink"/>
            <w:noProof/>
          </w:rPr>
          <w:t>Executive summary</w:t>
        </w:r>
        <w:r>
          <w:rPr>
            <w:noProof/>
            <w:webHidden/>
          </w:rPr>
          <w:tab/>
        </w:r>
        <w:r>
          <w:rPr>
            <w:noProof/>
            <w:webHidden/>
          </w:rPr>
          <w:fldChar w:fldCharType="begin"/>
        </w:r>
        <w:r>
          <w:rPr>
            <w:noProof/>
            <w:webHidden/>
          </w:rPr>
          <w:instrText xml:space="preserve"> PAGEREF _Toc34830882 \h </w:instrText>
        </w:r>
        <w:r>
          <w:rPr>
            <w:noProof/>
            <w:webHidden/>
          </w:rPr>
        </w:r>
        <w:r>
          <w:rPr>
            <w:noProof/>
            <w:webHidden/>
          </w:rPr>
          <w:fldChar w:fldCharType="separate"/>
        </w:r>
        <w:r w:rsidR="00C13DEA">
          <w:rPr>
            <w:noProof/>
            <w:webHidden/>
          </w:rPr>
          <w:t>i</w:t>
        </w:r>
        <w:r>
          <w:rPr>
            <w:noProof/>
            <w:webHidden/>
          </w:rPr>
          <w:fldChar w:fldCharType="end"/>
        </w:r>
      </w:hyperlink>
    </w:p>
    <w:p w14:paraId="7A116BA1" w14:textId="1C67F969" w:rsidR="00C55251" w:rsidRDefault="00B511DE">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34830883" w:history="1">
        <w:r w:rsidR="00C55251" w:rsidRPr="00586DC6">
          <w:rPr>
            <w:rStyle w:val="Hyperlink"/>
            <w:noProof/>
          </w:rPr>
          <w:t xml:space="preserve">1 </w:t>
        </w:r>
        <w:r w:rsidR="00C55251">
          <w:rPr>
            <w:rFonts w:asciiTheme="minorHAnsi" w:eastAsiaTheme="minorEastAsia" w:hAnsiTheme="minorHAnsi" w:cstheme="minorBidi"/>
            <w:b w:val="0"/>
            <w:bCs w:val="0"/>
            <w:caps w:val="0"/>
            <w:noProof/>
            <w:sz w:val="22"/>
            <w:szCs w:val="22"/>
            <w:lang w:eastAsia="en-GB" w:bidi="ar-SA"/>
          </w:rPr>
          <w:tab/>
        </w:r>
        <w:r w:rsidR="00C55251" w:rsidRPr="00586DC6">
          <w:rPr>
            <w:rStyle w:val="Hyperlink"/>
            <w:noProof/>
          </w:rPr>
          <w:t>Introduction</w:t>
        </w:r>
        <w:r w:rsidR="00C55251">
          <w:rPr>
            <w:noProof/>
            <w:webHidden/>
          </w:rPr>
          <w:tab/>
        </w:r>
        <w:r w:rsidR="00C55251">
          <w:rPr>
            <w:noProof/>
            <w:webHidden/>
          </w:rPr>
          <w:fldChar w:fldCharType="begin"/>
        </w:r>
        <w:r w:rsidR="00C55251">
          <w:rPr>
            <w:noProof/>
            <w:webHidden/>
          </w:rPr>
          <w:instrText xml:space="preserve"> PAGEREF _Toc34830883 \h </w:instrText>
        </w:r>
        <w:r w:rsidR="00C55251">
          <w:rPr>
            <w:noProof/>
            <w:webHidden/>
          </w:rPr>
        </w:r>
        <w:r w:rsidR="00C55251">
          <w:rPr>
            <w:noProof/>
            <w:webHidden/>
          </w:rPr>
          <w:fldChar w:fldCharType="separate"/>
        </w:r>
        <w:r w:rsidR="00C13DEA">
          <w:rPr>
            <w:noProof/>
            <w:webHidden/>
          </w:rPr>
          <w:t>7</w:t>
        </w:r>
        <w:r w:rsidR="00C55251">
          <w:rPr>
            <w:noProof/>
            <w:webHidden/>
          </w:rPr>
          <w:fldChar w:fldCharType="end"/>
        </w:r>
      </w:hyperlink>
    </w:p>
    <w:p w14:paraId="095AE698" w14:textId="03C0E111" w:rsidR="00C55251" w:rsidRDefault="00B511DE">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34830884" w:history="1">
        <w:r w:rsidR="00C55251" w:rsidRPr="00586DC6">
          <w:rPr>
            <w:rStyle w:val="Hyperlink"/>
            <w:noProof/>
          </w:rPr>
          <w:t>2</w:t>
        </w:r>
        <w:r w:rsidR="00C55251">
          <w:rPr>
            <w:rFonts w:asciiTheme="minorHAnsi" w:eastAsiaTheme="minorEastAsia" w:hAnsiTheme="minorHAnsi" w:cstheme="minorBidi"/>
            <w:b w:val="0"/>
            <w:bCs w:val="0"/>
            <w:caps w:val="0"/>
            <w:noProof/>
            <w:sz w:val="22"/>
            <w:szCs w:val="22"/>
            <w:lang w:eastAsia="en-GB" w:bidi="ar-SA"/>
          </w:rPr>
          <w:tab/>
        </w:r>
        <w:r w:rsidR="00C55251" w:rsidRPr="00586DC6">
          <w:rPr>
            <w:rStyle w:val="Hyperlink"/>
            <w:noProof/>
          </w:rPr>
          <w:t>History of use</w:t>
        </w:r>
        <w:r w:rsidR="00C55251">
          <w:rPr>
            <w:noProof/>
            <w:webHidden/>
          </w:rPr>
          <w:tab/>
        </w:r>
        <w:r w:rsidR="00C55251">
          <w:rPr>
            <w:noProof/>
            <w:webHidden/>
          </w:rPr>
          <w:fldChar w:fldCharType="begin"/>
        </w:r>
        <w:r w:rsidR="00C55251">
          <w:rPr>
            <w:noProof/>
            <w:webHidden/>
          </w:rPr>
          <w:instrText xml:space="preserve"> PAGEREF _Toc34830884 \h </w:instrText>
        </w:r>
        <w:r w:rsidR="00C55251">
          <w:rPr>
            <w:noProof/>
            <w:webHidden/>
          </w:rPr>
        </w:r>
        <w:r w:rsidR="00C55251">
          <w:rPr>
            <w:noProof/>
            <w:webHidden/>
          </w:rPr>
          <w:fldChar w:fldCharType="separate"/>
        </w:r>
        <w:r w:rsidR="00C13DEA">
          <w:rPr>
            <w:noProof/>
            <w:webHidden/>
          </w:rPr>
          <w:t>7</w:t>
        </w:r>
        <w:r w:rsidR="00C55251">
          <w:rPr>
            <w:noProof/>
            <w:webHidden/>
          </w:rPr>
          <w:fldChar w:fldCharType="end"/>
        </w:r>
      </w:hyperlink>
    </w:p>
    <w:p w14:paraId="7F4D064B" w14:textId="6C776EBD" w:rsidR="00C55251" w:rsidRDefault="00B511DE">
      <w:pPr>
        <w:pStyle w:val="TOC2"/>
        <w:rPr>
          <w:rFonts w:asciiTheme="minorHAnsi" w:eastAsiaTheme="minorEastAsia" w:hAnsiTheme="minorHAnsi" w:cstheme="minorBidi"/>
          <w:noProof/>
          <w:sz w:val="22"/>
          <w:szCs w:val="22"/>
          <w:lang w:eastAsia="en-GB" w:bidi="ar-SA"/>
        </w:rPr>
      </w:pPr>
      <w:hyperlink w:anchor="_Toc34830885" w:history="1">
        <w:r w:rsidR="00C55251" w:rsidRPr="00586DC6">
          <w:rPr>
            <w:rStyle w:val="Hyperlink"/>
            <w:noProof/>
          </w:rPr>
          <w:t>2.1</w:t>
        </w:r>
        <w:r w:rsidR="00C55251">
          <w:rPr>
            <w:rFonts w:asciiTheme="minorHAnsi" w:eastAsiaTheme="minorEastAsia" w:hAnsiTheme="minorHAnsi" w:cstheme="minorBidi"/>
            <w:noProof/>
            <w:sz w:val="22"/>
            <w:szCs w:val="22"/>
            <w:lang w:eastAsia="en-GB" w:bidi="ar-SA"/>
          </w:rPr>
          <w:tab/>
        </w:r>
        <w:r w:rsidR="00C55251" w:rsidRPr="00586DC6">
          <w:rPr>
            <w:rStyle w:val="Hyperlink"/>
            <w:noProof/>
          </w:rPr>
          <w:t>Host organism</w:t>
        </w:r>
        <w:r w:rsidR="00C55251">
          <w:rPr>
            <w:noProof/>
            <w:webHidden/>
          </w:rPr>
          <w:tab/>
        </w:r>
        <w:r w:rsidR="00C55251">
          <w:rPr>
            <w:noProof/>
            <w:webHidden/>
          </w:rPr>
          <w:fldChar w:fldCharType="begin"/>
        </w:r>
        <w:r w:rsidR="00C55251">
          <w:rPr>
            <w:noProof/>
            <w:webHidden/>
          </w:rPr>
          <w:instrText xml:space="preserve"> PAGEREF _Toc34830885 \h </w:instrText>
        </w:r>
        <w:r w:rsidR="00C55251">
          <w:rPr>
            <w:noProof/>
            <w:webHidden/>
          </w:rPr>
        </w:r>
        <w:r w:rsidR="00C55251">
          <w:rPr>
            <w:noProof/>
            <w:webHidden/>
          </w:rPr>
          <w:fldChar w:fldCharType="separate"/>
        </w:r>
        <w:r w:rsidR="00C13DEA">
          <w:rPr>
            <w:noProof/>
            <w:webHidden/>
          </w:rPr>
          <w:t>7</w:t>
        </w:r>
        <w:r w:rsidR="00C55251">
          <w:rPr>
            <w:noProof/>
            <w:webHidden/>
          </w:rPr>
          <w:fldChar w:fldCharType="end"/>
        </w:r>
      </w:hyperlink>
    </w:p>
    <w:p w14:paraId="48F76A79" w14:textId="039FF4BA" w:rsidR="00C55251" w:rsidRDefault="00B511DE">
      <w:pPr>
        <w:pStyle w:val="TOC2"/>
        <w:rPr>
          <w:rFonts w:asciiTheme="minorHAnsi" w:eastAsiaTheme="minorEastAsia" w:hAnsiTheme="minorHAnsi" w:cstheme="minorBidi"/>
          <w:noProof/>
          <w:sz w:val="22"/>
          <w:szCs w:val="22"/>
          <w:lang w:eastAsia="en-GB" w:bidi="ar-SA"/>
        </w:rPr>
      </w:pPr>
      <w:hyperlink w:anchor="_Toc34830886" w:history="1">
        <w:r w:rsidR="00C55251" w:rsidRPr="00586DC6">
          <w:rPr>
            <w:rStyle w:val="Hyperlink"/>
            <w:noProof/>
          </w:rPr>
          <w:t>2.2</w:t>
        </w:r>
        <w:r w:rsidR="00C55251">
          <w:rPr>
            <w:rFonts w:asciiTheme="minorHAnsi" w:eastAsiaTheme="minorEastAsia" w:hAnsiTheme="minorHAnsi" w:cstheme="minorBidi"/>
            <w:noProof/>
            <w:sz w:val="22"/>
            <w:szCs w:val="22"/>
            <w:lang w:eastAsia="en-GB" w:bidi="ar-SA"/>
          </w:rPr>
          <w:tab/>
        </w:r>
        <w:r w:rsidR="00C55251" w:rsidRPr="00586DC6">
          <w:rPr>
            <w:rStyle w:val="Hyperlink"/>
            <w:noProof/>
          </w:rPr>
          <w:t>Donor organisms</w:t>
        </w:r>
        <w:r w:rsidR="00C55251">
          <w:rPr>
            <w:noProof/>
            <w:webHidden/>
          </w:rPr>
          <w:tab/>
        </w:r>
        <w:r w:rsidR="00C55251">
          <w:rPr>
            <w:noProof/>
            <w:webHidden/>
          </w:rPr>
          <w:fldChar w:fldCharType="begin"/>
        </w:r>
        <w:r w:rsidR="00C55251">
          <w:rPr>
            <w:noProof/>
            <w:webHidden/>
          </w:rPr>
          <w:instrText xml:space="preserve"> PAGEREF _Toc34830886 \h </w:instrText>
        </w:r>
        <w:r w:rsidR="00C55251">
          <w:rPr>
            <w:noProof/>
            <w:webHidden/>
          </w:rPr>
        </w:r>
        <w:r w:rsidR="00C55251">
          <w:rPr>
            <w:noProof/>
            <w:webHidden/>
          </w:rPr>
          <w:fldChar w:fldCharType="separate"/>
        </w:r>
        <w:r w:rsidR="00C13DEA">
          <w:rPr>
            <w:noProof/>
            <w:webHidden/>
          </w:rPr>
          <w:t>8</w:t>
        </w:r>
        <w:r w:rsidR="00C55251">
          <w:rPr>
            <w:noProof/>
            <w:webHidden/>
          </w:rPr>
          <w:fldChar w:fldCharType="end"/>
        </w:r>
      </w:hyperlink>
    </w:p>
    <w:p w14:paraId="56BC8E47" w14:textId="7C1624FB" w:rsidR="00C55251" w:rsidRDefault="00B511DE">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34830887" w:history="1">
        <w:r w:rsidR="00C55251" w:rsidRPr="00586DC6">
          <w:rPr>
            <w:rStyle w:val="Hyperlink"/>
            <w:noProof/>
          </w:rPr>
          <w:t>3</w:t>
        </w:r>
        <w:r w:rsidR="00C55251">
          <w:rPr>
            <w:rFonts w:asciiTheme="minorHAnsi" w:eastAsiaTheme="minorEastAsia" w:hAnsiTheme="minorHAnsi" w:cstheme="minorBidi"/>
            <w:b w:val="0"/>
            <w:bCs w:val="0"/>
            <w:caps w:val="0"/>
            <w:noProof/>
            <w:sz w:val="22"/>
            <w:szCs w:val="22"/>
            <w:lang w:eastAsia="en-GB" w:bidi="ar-SA"/>
          </w:rPr>
          <w:tab/>
        </w:r>
        <w:r w:rsidR="00C55251" w:rsidRPr="00586DC6">
          <w:rPr>
            <w:rStyle w:val="Hyperlink"/>
            <w:noProof/>
          </w:rPr>
          <w:t>Molecular characterisation</w:t>
        </w:r>
        <w:r w:rsidR="00C55251">
          <w:rPr>
            <w:noProof/>
            <w:webHidden/>
          </w:rPr>
          <w:tab/>
        </w:r>
        <w:r w:rsidR="00C55251">
          <w:rPr>
            <w:noProof/>
            <w:webHidden/>
          </w:rPr>
          <w:fldChar w:fldCharType="begin"/>
        </w:r>
        <w:r w:rsidR="00C55251">
          <w:rPr>
            <w:noProof/>
            <w:webHidden/>
          </w:rPr>
          <w:instrText xml:space="preserve"> PAGEREF _Toc34830887 \h </w:instrText>
        </w:r>
        <w:r w:rsidR="00C55251">
          <w:rPr>
            <w:noProof/>
            <w:webHidden/>
          </w:rPr>
        </w:r>
        <w:r w:rsidR="00C55251">
          <w:rPr>
            <w:noProof/>
            <w:webHidden/>
          </w:rPr>
          <w:fldChar w:fldCharType="separate"/>
        </w:r>
        <w:r w:rsidR="00C13DEA">
          <w:rPr>
            <w:noProof/>
            <w:webHidden/>
          </w:rPr>
          <w:t>9</w:t>
        </w:r>
        <w:r w:rsidR="00C55251">
          <w:rPr>
            <w:noProof/>
            <w:webHidden/>
          </w:rPr>
          <w:fldChar w:fldCharType="end"/>
        </w:r>
      </w:hyperlink>
    </w:p>
    <w:p w14:paraId="1AAB3055" w14:textId="23B43E44" w:rsidR="00C55251" w:rsidRDefault="00B511DE">
      <w:pPr>
        <w:pStyle w:val="TOC2"/>
        <w:rPr>
          <w:rFonts w:asciiTheme="minorHAnsi" w:eastAsiaTheme="minorEastAsia" w:hAnsiTheme="minorHAnsi" w:cstheme="minorBidi"/>
          <w:noProof/>
          <w:sz w:val="22"/>
          <w:szCs w:val="22"/>
          <w:lang w:eastAsia="en-GB" w:bidi="ar-SA"/>
        </w:rPr>
      </w:pPr>
      <w:hyperlink w:anchor="_Toc34830888" w:history="1">
        <w:r w:rsidR="00C55251" w:rsidRPr="00586DC6">
          <w:rPr>
            <w:rStyle w:val="Hyperlink"/>
            <w:noProof/>
          </w:rPr>
          <w:t>3.1</w:t>
        </w:r>
        <w:r w:rsidR="00C55251">
          <w:rPr>
            <w:rFonts w:asciiTheme="minorHAnsi" w:eastAsiaTheme="minorEastAsia" w:hAnsiTheme="minorHAnsi" w:cstheme="minorBidi"/>
            <w:noProof/>
            <w:sz w:val="22"/>
            <w:szCs w:val="22"/>
            <w:lang w:eastAsia="en-GB" w:bidi="ar-SA"/>
          </w:rPr>
          <w:tab/>
        </w:r>
        <w:r w:rsidR="00C55251" w:rsidRPr="00586DC6">
          <w:rPr>
            <w:rStyle w:val="Hyperlink"/>
            <w:noProof/>
          </w:rPr>
          <w:t>Transformation Method</w:t>
        </w:r>
        <w:r w:rsidR="00C55251">
          <w:rPr>
            <w:noProof/>
            <w:webHidden/>
          </w:rPr>
          <w:tab/>
        </w:r>
        <w:r w:rsidR="00C55251">
          <w:rPr>
            <w:noProof/>
            <w:webHidden/>
          </w:rPr>
          <w:fldChar w:fldCharType="begin"/>
        </w:r>
        <w:r w:rsidR="00C55251">
          <w:rPr>
            <w:noProof/>
            <w:webHidden/>
          </w:rPr>
          <w:instrText xml:space="preserve"> PAGEREF _Toc34830888 \h </w:instrText>
        </w:r>
        <w:r w:rsidR="00C55251">
          <w:rPr>
            <w:noProof/>
            <w:webHidden/>
          </w:rPr>
        </w:r>
        <w:r w:rsidR="00C55251">
          <w:rPr>
            <w:noProof/>
            <w:webHidden/>
          </w:rPr>
          <w:fldChar w:fldCharType="separate"/>
        </w:r>
        <w:r w:rsidR="00C13DEA">
          <w:rPr>
            <w:noProof/>
            <w:webHidden/>
          </w:rPr>
          <w:t>9</w:t>
        </w:r>
        <w:r w:rsidR="00C55251">
          <w:rPr>
            <w:noProof/>
            <w:webHidden/>
          </w:rPr>
          <w:fldChar w:fldCharType="end"/>
        </w:r>
      </w:hyperlink>
    </w:p>
    <w:p w14:paraId="3469EDFE" w14:textId="36DD1D7C" w:rsidR="00C55251" w:rsidRDefault="00B511DE">
      <w:pPr>
        <w:pStyle w:val="TOC2"/>
        <w:rPr>
          <w:rFonts w:asciiTheme="minorHAnsi" w:eastAsiaTheme="minorEastAsia" w:hAnsiTheme="minorHAnsi" w:cstheme="minorBidi"/>
          <w:noProof/>
          <w:sz w:val="22"/>
          <w:szCs w:val="22"/>
          <w:lang w:eastAsia="en-GB" w:bidi="ar-SA"/>
        </w:rPr>
      </w:pPr>
      <w:hyperlink w:anchor="_Toc34830889" w:history="1">
        <w:r w:rsidR="00C55251" w:rsidRPr="00586DC6">
          <w:rPr>
            <w:rStyle w:val="Hyperlink"/>
            <w:noProof/>
          </w:rPr>
          <w:t>3.2</w:t>
        </w:r>
        <w:r w:rsidR="00C55251">
          <w:rPr>
            <w:rFonts w:asciiTheme="minorHAnsi" w:eastAsiaTheme="minorEastAsia" w:hAnsiTheme="minorHAnsi" w:cstheme="minorBidi"/>
            <w:noProof/>
            <w:sz w:val="22"/>
            <w:szCs w:val="22"/>
            <w:lang w:eastAsia="en-GB" w:bidi="ar-SA"/>
          </w:rPr>
          <w:tab/>
        </w:r>
        <w:r w:rsidR="00C55251" w:rsidRPr="00586DC6">
          <w:rPr>
            <w:rStyle w:val="Hyperlink"/>
            <w:noProof/>
          </w:rPr>
          <w:t>Detailed description of DNA to be introduced</w:t>
        </w:r>
        <w:r w:rsidR="00C55251">
          <w:rPr>
            <w:noProof/>
            <w:webHidden/>
          </w:rPr>
          <w:tab/>
        </w:r>
        <w:r w:rsidR="00C55251">
          <w:rPr>
            <w:noProof/>
            <w:webHidden/>
          </w:rPr>
          <w:fldChar w:fldCharType="begin"/>
        </w:r>
        <w:r w:rsidR="00C55251">
          <w:rPr>
            <w:noProof/>
            <w:webHidden/>
          </w:rPr>
          <w:instrText xml:space="preserve"> PAGEREF _Toc34830889 \h </w:instrText>
        </w:r>
        <w:r w:rsidR="00C55251">
          <w:rPr>
            <w:noProof/>
            <w:webHidden/>
          </w:rPr>
        </w:r>
        <w:r w:rsidR="00C55251">
          <w:rPr>
            <w:noProof/>
            <w:webHidden/>
          </w:rPr>
          <w:fldChar w:fldCharType="separate"/>
        </w:r>
        <w:r w:rsidR="00C13DEA">
          <w:rPr>
            <w:noProof/>
            <w:webHidden/>
          </w:rPr>
          <w:t>10</w:t>
        </w:r>
        <w:r w:rsidR="00C55251">
          <w:rPr>
            <w:noProof/>
            <w:webHidden/>
          </w:rPr>
          <w:fldChar w:fldCharType="end"/>
        </w:r>
      </w:hyperlink>
    </w:p>
    <w:p w14:paraId="5EDBFD31" w14:textId="12E768AD" w:rsidR="00C55251" w:rsidRDefault="00B511DE">
      <w:pPr>
        <w:pStyle w:val="TOC2"/>
        <w:rPr>
          <w:rFonts w:asciiTheme="minorHAnsi" w:eastAsiaTheme="minorEastAsia" w:hAnsiTheme="minorHAnsi" w:cstheme="minorBidi"/>
          <w:noProof/>
          <w:sz w:val="22"/>
          <w:szCs w:val="22"/>
          <w:lang w:eastAsia="en-GB" w:bidi="ar-SA"/>
        </w:rPr>
      </w:pPr>
      <w:hyperlink w:anchor="_Toc34830890" w:history="1">
        <w:r w:rsidR="00C55251" w:rsidRPr="00586DC6">
          <w:rPr>
            <w:rStyle w:val="Hyperlink"/>
            <w:noProof/>
          </w:rPr>
          <w:t>3.3</w:t>
        </w:r>
        <w:r w:rsidR="00C55251">
          <w:rPr>
            <w:rFonts w:asciiTheme="minorHAnsi" w:eastAsiaTheme="minorEastAsia" w:hAnsiTheme="minorHAnsi" w:cstheme="minorBidi"/>
            <w:noProof/>
            <w:sz w:val="22"/>
            <w:szCs w:val="22"/>
            <w:lang w:eastAsia="en-GB" w:bidi="ar-SA"/>
          </w:rPr>
          <w:tab/>
        </w:r>
        <w:r w:rsidR="00C55251" w:rsidRPr="00586DC6">
          <w:rPr>
            <w:rStyle w:val="Hyperlink"/>
            <w:noProof/>
          </w:rPr>
          <w:t>Development of the soybean line from original transformation</w:t>
        </w:r>
        <w:r w:rsidR="00C55251">
          <w:rPr>
            <w:noProof/>
            <w:webHidden/>
          </w:rPr>
          <w:tab/>
        </w:r>
        <w:r w:rsidR="00C55251">
          <w:rPr>
            <w:noProof/>
            <w:webHidden/>
          </w:rPr>
          <w:fldChar w:fldCharType="begin"/>
        </w:r>
        <w:r w:rsidR="00C55251">
          <w:rPr>
            <w:noProof/>
            <w:webHidden/>
          </w:rPr>
          <w:instrText xml:space="preserve"> PAGEREF _Toc34830890 \h </w:instrText>
        </w:r>
        <w:r w:rsidR="00C55251">
          <w:rPr>
            <w:noProof/>
            <w:webHidden/>
          </w:rPr>
        </w:r>
        <w:r w:rsidR="00C55251">
          <w:rPr>
            <w:noProof/>
            <w:webHidden/>
          </w:rPr>
          <w:fldChar w:fldCharType="separate"/>
        </w:r>
        <w:r w:rsidR="00C13DEA">
          <w:rPr>
            <w:noProof/>
            <w:webHidden/>
          </w:rPr>
          <w:t>11</w:t>
        </w:r>
        <w:r w:rsidR="00C55251">
          <w:rPr>
            <w:noProof/>
            <w:webHidden/>
          </w:rPr>
          <w:fldChar w:fldCharType="end"/>
        </w:r>
      </w:hyperlink>
    </w:p>
    <w:p w14:paraId="388D2B6D" w14:textId="7E736620" w:rsidR="00C55251" w:rsidRDefault="00B511DE">
      <w:pPr>
        <w:pStyle w:val="TOC2"/>
        <w:rPr>
          <w:rFonts w:asciiTheme="minorHAnsi" w:eastAsiaTheme="minorEastAsia" w:hAnsiTheme="minorHAnsi" w:cstheme="minorBidi"/>
          <w:noProof/>
          <w:sz w:val="22"/>
          <w:szCs w:val="22"/>
          <w:lang w:eastAsia="en-GB" w:bidi="ar-SA"/>
        </w:rPr>
      </w:pPr>
      <w:hyperlink w:anchor="_Toc34830891" w:history="1">
        <w:r w:rsidR="00C55251" w:rsidRPr="00586DC6">
          <w:rPr>
            <w:rStyle w:val="Hyperlink"/>
            <w:noProof/>
          </w:rPr>
          <w:t>3.4</w:t>
        </w:r>
        <w:r w:rsidR="00C55251">
          <w:rPr>
            <w:rFonts w:asciiTheme="minorHAnsi" w:eastAsiaTheme="minorEastAsia" w:hAnsiTheme="minorHAnsi" w:cstheme="minorBidi"/>
            <w:noProof/>
            <w:sz w:val="22"/>
            <w:szCs w:val="22"/>
            <w:lang w:eastAsia="en-GB" w:bidi="ar-SA"/>
          </w:rPr>
          <w:tab/>
        </w:r>
        <w:r w:rsidR="00C55251" w:rsidRPr="00586DC6">
          <w:rPr>
            <w:rStyle w:val="Hyperlink"/>
            <w:noProof/>
          </w:rPr>
          <w:t>Characterisation of the inserted DNA and site(s) of insertion</w:t>
        </w:r>
        <w:r w:rsidR="00C55251">
          <w:rPr>
            <w:noProof/>
            <w:webHidden/>
          </w:rPr>
          <w:tab/>
        </w:r>
        <w:r w:rsidR="00C55251">
          <w:rPr>
            <w:noProof/>
            <w:webHidden/>
          </w:rPr>
          <w:fldChar w:fldCharType="begin"/>
        </w:r>
        <w:r w:rsidR="00C55251">
          <w:rPr>
            <w:noProof/>
            <w:webHidden/>
          </w:rPr>
          <w:instrText xml:space="preserve"> PAGEREF _Toc34830891 \h </w:instrText>
        </w:r>
        <w:r w:rsidR="00C55251">
          <w:rPr>
            <w:noProof/>
            <w:webHidden/>
          </w:rPr>
        </w:r>
        <w:r w:rsidR="00C55251">
          <w:rPr>
            <w:noProof/>
            <w:webHidden/>
          </w:rPr>
          <w:fldChar w:fldCharType="separate"/>
        </w:r>
        <w:r w:rsidR="00C13DEA">
          <w:rPr>
            <w:noProof/>
            <w:webHidden/>
          </w:rPr>
          <w:t>12</w:t>
        </w:r>
        <w:r w:rsidR="00C55251">
          <w:rPr>
            <w:noProof/>
            <w:webHidden/>
          </w:rPr>
          <w:fldChar w:fldCharType="end"/>
        </w:r>
      </w:hyperlink>
    </w:p>
    <w:p w14:paraId="1AC7BA49" w14:textId="2BA29543" w:rsidR="00C55251" w:rsidRDefault="00B511DE">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34830892" w:history="1">
        <w:r w:rsidR="00C55251" w:rsidRPr="00586DC6">
          <w:rPr>
            <w:rStyle w:val="Hyperlink"/>
            <w:noProof/>
          </w:rPr>
          <w:t>4</w:t>
        </w:r>
        <w:r w:rsidR="00C55251">
          <w:rPr>
            <w:rFonts w:asciiTheme="minorHAnsi" w:eastAsiaTheme="minorEastAsia" w:hAnsiTheme="minorHAnsi" w:cstheme="minorBidi"/>
            <w:b w:val="0"/>
            <w:bCs w:val="0"/>
            <w:caps w:val="0"/>
            <w:noProof/>
            <w:sz w:val="22"/>
            <w:szCs w:val="22"/>
            <w:lang w:eastAsia="en-GB" w:bidi="ar-SA"/>
          </w:rPr>
          <w:tab/>
        </w:r>
        <w:r w:rsidR="00C55251" w:rsidRPr="00586DC6">
          <w:rPr>
            <w:rStyle w:val="Hyperlink"/>
            <w:noProof/>
          </w:rPr>
          <w:t>Characterisation and safety assessment of novel substances</w:t>
        </w:r>
        <w:r w:rsidR="00C55251">
          <w:rPr>
            <w:noProof/>
            <w:webHidden/>
          </w:rPr>
          <w:tab/>
        </w:r>
        <w:r w:rsidR="00C55251">
          <w:rPr>
            <w:noProof/>
            <w:webHidden/>
          </w:rPr>
          <w:fldChar w:fldCharType="begin"/>
        </w:r>
        <w:r w:rsidR="00C55251">
          <w:rPr>
            <w:noProof/>
            <w:webHidden/>
          </w:rPr>
          <w:instrText xml:space="preserve"> PAGEREF _Toc34830892 \h </w:instrText>
        </w:r>
        <w:r w:rsidR="00C55251">
          <w:rPr>
            <w:noProof/>
            <w:webHidden/>
          </w:rPr>
        </w:r>
        <w:r w:rsidR="00C55251">
          <w:rPr>
            <w:noProof/>
            <w:webHidden/>
          </w:rPr>
          <w:fldChar w:fldCharType="separate"/>
        </w:r>
        <w:r w:rsidR="00C13DEA">
          <w:rPr>
            <w:noProof/>
            <w:webHidden/>
          </w:rPr>
          <w:t>16</w:t>
        </w:r>
        <w:r w:rsidR="00C55251">
          <w:rPr>
            <w:noProof/>
            <w:webHidden/>
          </w:rPr>
          <w:fldChar w:fldCharType="end"/>
        </w:r>
      </w:hyperlink>
    </w:p>
    <w:p w14:paraId="7B423325" w14:textId="4AE509EA" w:rsidR="00C55251" w:rsidRDefault="00B511DE">
      <w:pPr>
        <w:pStyle w:val="TOC2"/>
        <w:rPr>
          <w:rFonts w:asciiTheme="minorHAnsi" w:eastAsiaTheme="minorEastAsia" w:hAnsiTheme="minorHAnsi" w:cstheme="minorBidi"/>
          <w:noProof/>
          <w:sz w:val="22"/>
          <w:szCs w:val="22"/>
          <w:lang w:eastAsia="en-GB" w:bidi="ar-SA"/>
        </w:rPr>
      </w:pPr>
      <w:hyperlink w:anchor="_Toc34830893" w:history="1">
        <w:r w:rsidR="00C55251" w:rsidRPr="00586DC6">
          <w:rPr>
            <w:rStyle w:val="Hyperlink"/>
            <w:noProof/>
          </w:rPr>
          <w:t>4.1</w:t>
        </w:r>
        <w:r w:rsidR="00C55251">
          <w:rPr>
            <w:rFonts w:asciiTheme="minorHAnsi" w:eastAsiaTheme="minorEastAsia" w:hAnsiTheme="minorHAnsi" w:cstheme="minorBidi"/>
            <w:noProof/>
            <w:sz w:val="22"/>
            <w:szCs w:val="22"/>
            <w:lang w:eastAsia="en-GB" w:bidi="ar-SA"/>
          </w:rPr>
          <w:tab/>
        </w:r>
        <w:r w:rsidR="00C55251" w:rsidRPr="00586DC6">
          <w:rPr>
            <w:rStyle w:val="Hyperlink"/>
            <w:noProof/>
          </w:rPr>
          <w:t>Description of the Cry14Ab1 protein</w:t>
        </w:r>
        <w:r w:rsidR="00C55251">
          <w:rPr>
            <w:noProof/>
            <w:webHidden/>
          </w:rPr>
          <w:tab/>
        </w:r>
        <w:r w:rsidR="00C55251">
          <w:rPr>
            <w:noProof/>
            <w:webHidden/>
          </w:rPr>
          <w:fldChar w:fldCharType="begin"/>
        </w:r>
        <w:r w:rsidR="00C55251">
          <w:rPr>
            <w:noProof/>
            <w:webHidden/>
          </w:rPr>
          <w:instrText xml:space="preserve"> PAGEREF _Toc34830893 \h </w:instrText>
        </w:r>
        <w:r w:rsidR="00C55251">
          <w:rPr>
            <w:noProof/>
            <w:webHidden/>
          </w:rPr>
        </w:r>
        <w:r w:rsidR="00C55251">
          <w:rPr>
            <w:noProof/>
            <w:webHidden/>
          </w:rPr>
          <w:fldChar w:fldCharType="separate"/>
        </w:r>
        <w:r w:rsidR="00C13DEA">
          <w:rPr>
            <w:noProof/>
            <w:webHidden/>
          </w:rPr>
          <w:t>16</w:t>
        </w:r>
        <w:r w:rsidR="00C55251">
          <w:rPr>
            <w:noProof/>
            <w:webHidden/>
          </w:rPr>
          <w:fldChar w:fldCharType="end"/>
        </w:r>
      </w:hyperlink>
    </w:p>
    <w:p w14:paraId="35B10E39" w14:textId="32E49F5C" w:rsidR="00C55251" w:rsidRDefault="00B511DE">
      <w:pPr>
        <w:pStyle w:val="TOC2"/>
        <w:rPr>
          <w:rFonts w:asciiTheme="minorHAnsi" w:eastAsiaTheme="minorEastAsia" w:hAnsiTheme="minorHAnsi" w:cstheme="minorBidi"/>
          <w:noProof/>
          <w:sz w:val="22"/>
          <w:szCs w:val="22"/>
          <w:lang w:eastAsia="en-GB" w:bidi="ar-SA"/>
        </w:rPr>
      </w:pPr>
      <w:hyperlink w:anchor="_Toc34830894" w:history="1">
        <w:r w:rsidR="00C55251" w:rsidRPr="00586DC6">
          <w:rPr>
            <w:rStyle w:val="Hyperlink"/>
            <w:noProof/>
          </w:rPr>
          <w:t>4.2</w:t>
        </w:r>
        <w:r w:rsidR="00C55251">
          <w:rPr>
            <w:rFonts w:asciiTheme="minorHAnsi" w:eastAsiaTheme="minorEastAsia" w:hAnsiTheme="minorHAnsi" w:cstheme="minorBidi"/>
            <w:noProof/>
            <w:sz w:val="22"/>
            <w:szCs w:val="22"/>
            <w:lang w:eastAsia="en-GB" w:bidi="ar-SA"/>
          </w:rPr>
          <w:tab/>
        </w:r>
        <w:r w:rsidR="00C55251" w:rsidRPr="00586DC6">
          <w:rPr>
            <w:rStyle w:val="Hyperlink"/>
            <w:noProof/>
          </w:rPr>
          <w:t>Description of the HPPD-4 protein</w:t>
        </w:r>
        <w:r w:rsidR="00C55251">
          <w:rPr>
            <w:noProof/>
            <w:webHidden/>
          </w:rPr>
          <w:tab/>
        </w:r>
        <w:r w:rsidR="00C55251">
          <w:rPr>
            <w:noProof/>
            <w:webHidden/>
          </w:rPr>
          <w:fldChar w:fldCharType="begin"/>
        </w:r>
        <w:r w:rsidR="00C55251">
          <w:rPr>
            <w:noProof/>
            <w:webHidden/>
          </w:rPr>
          <w:instrText xml:space="preserve"> PAGEREF _Toc34830894 \h </w:instrText>
        </w:r>
        <w:r w:rsidR="00C55251">
          <w:rPr>
            <w:noProof/>
            <w:webHidden/>
          </w:rPr>
        </w:r>
        <w:r w:rsidR="00C55251">
          <w:rPr>
            <w:noProof/>
            <w:webHidden/>
          </w:rPr>
          <w:fldChar w:fldCharType="separate"/>
        </w:r>
        <w:r w:rsidR="00C13DEA">
          <w:rPr>
            <w:noProof/>
            <w:webHidden/>
          </w:rPr>
          <w:t>19</w:t>
        </w:r>
        <w:r w:rsidR="00C55251">
          <w:rPr>
            <w:noProof/>
            <w:webHidden/>
          </w:rPr>
          <w:fldChar w:fldCharType="end"/>
        </w:r>
      </w:hyperlink>
    </w:p>
    <w:p w14:paraId="647B7D3E" w14:textId="48ABC092" w:rsidR="00C55251" w:rsidRDefault="00B511DE">
      <w:pPr>
        <w:pStyle w:val="TOC2"/>
        <w:rPr>
          <w:rFonts w:asciiTheme="minorHAnsi" w:eastAsiaTheme="minorEastAsia" w:hAnsiTheme="minorHAnsi" w:cstheme="minorBidi"/>
          <w:noProof/>
          <w:sz w:val="22"/>
          <w:szCs w:val="22"/>
          <w:lang w:eastAsia="en-GB" w:bidi="ar-SA"/>
        </w:rPr>
      </w:pPr>
      <w:hyperlink w:anchor="_Toc34830895" w:history="1">
        <w:r w:rsidR="00C55251" w:rsidRPr="00586DC6">
          <w:rPr>
            <w:rStyle w:val="Hyperlink"/>
            <w:noProof/>
            <w:lang w:eastAsia="en-AU"/>
          </w:rPr>
          <w:t xml:space="preserve">4.4 </w:t>
        </w:r>
        <w:r w:rsidR="00C55251">
          <w:rPr>
            <w:rFonts w:asciiTheme="minorHAnsi" w:eastAsiaTheme="minorEastAsia" w:hAnsiTheme="minorHAnsi" w:cstheme="minorBidi"/>
            <w:noProof/>
            <w:sz w:val="22"/>
            <w:szCs w:val="22"/>
            <w:lang w:eastAsia="en-GB" w:bidi="ar-SA"/>
          </w:rPr>
          <w:tab/>
        </w:r>
        <w:r w:rsidR="00C55251" w:rsidRPr="00586DC6">
          <w:rPr>
            <w:rStyle w:val="Hyperlink"/>
            <w:noProof/>
            <w:lang w:eastAsia="en-AU"/>
          </w:rPr>
          <w:t>Novel herbicide metabolites in GM herbicide-tolerant plants</w:t>
        </w:r>
        <w:r w:rsidR="00C55251">
          <w:rPr>
            <w:noProof/>
            <w:webHidden/>
          </w:rPr>
          <w:tab/>
        </w:r>
        <w:r w:rsidR="00C55251">
          <w:rPr>
            <w:noProof/>
            <w:webHidden/>
          </w:rPr>
          <w:fldChar w:fldCharType="begin"/>
        </w:r>
        <w:r w:rsidR="00C55251">
          <w:rPr>
            <w:noProof/>
            <w:webHidden/>
          </w:rPr>
          <w:instrText xml:space="preserve"> PAGEREF _Toc34830895 \h </w:instrText>
        </w:r>
        <w:r w:rsidR="00C55251">
          <w:rPr>
            <w:noProof/>
            <w:webHidden/>
          </w:rPr>
        </w:r>
        <w:r w:rsidR="00C55251">
          <w:rPr>
            <w:noProof/>
            <w:webHidden/>
          </w:rPr>
          <w:fldChar w:fldCharType="separate"/>
        </w:r>
        <w:r w:rsidR="00C13DEA">
          <w:rPr>
            <w:noProof/>
            <w:webHidden/>
          </w:rPr>
          <w:t>23</w:t>
        </w:r>
        <w:r w:rsidR="00C55251">
          <w:rPr>
            <w:noProof/>
            <w:webHidden/>
          </w:rPr>
          <w:fldChar w:fldCharType="end"/>
        </w:r>
      </w:hyperlink>
    </w:p>
    <w:p w14:paraId="708099DF" w14:textId="3AD971B6" w:rsidR="00C55251" w:rsidRDefault="00B511DE">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34830896" w:history="1">
        <w:r w:rsidR="00C55251" w:rsidRPr="00586DC6">
          <w:rPr>
            <w:rStyle w:val="Hyperlink"/>
            <w:noProof/>
          </w:rPr>
          <w:t>5</w:t>
        </w:r>
        <w:r w:rsidR="00C55251">
          <w:rPr>
            <w:rFonts w:asciiTheme="minorHAnsi" w:eastAsiaTheme="minorEastAsia" w:hAnsiTheme="minorHAnsi" w:cstheme="minorBidi"/>
            <w:b w:val="0"/>
            <w:bCs w:val="0"/>
            <w:caps w:val="0"/>
            <w:noProof/>
            <w:sz w:val="22"/>
            <w:szCs w:val="22"/>
            <w:lang w:eastAsia="en-GB" w:bidi="ar-SA"/>
          </w:rPr>
          <w:tab/>
        </w:r>
        <w:r w:rsidR="00C55251" w:rsidRPr="00586DC6">
          <w:rPr>
            <w:rStyle w:val="Hyperlink"/>
            <w:noProof/>
          </w:rPr>
          <w:t>Compositional analysis</w:t>
        </w:r>
        <w:r w:rsidR="00C55251">
          <w:rPr>
            <w:noProof/>
            <w:webHidden/>
          </w:rPr>
          <w:tab/>
        </w:r>
        <w:r w:rsidR="00C55251">
          <w:rPr>
            <w:noProof/>
            <w:webHidden/>
          </w:rPr>
          <w:fldChar w:fldCharType="begin"/>
        </w:r>
        <w:r w:rsidR="00C55251">
          <w:rPr>
            <w:noProof/>
            <w:webHidden/>
          </w:rPr>
          <w:instrText xml:space="preserve"> PAGEREF _Toc34830896 \h </w:instrText>
        </w:r>
        <w:r w:rsidR="00C55251">
          <w:rPr>
            <w:noProof/>
            <w:webHidden/>
          </w:rPr>
        </w:r>
        <w:r w:rsidR="00C55251">
          <w:rPr>
            <w:noProof/>
            <w:webHidden/>
          </w:rPr>
          <w:fldChar w:fldCharType="separate"/>
        </w:r>
        <w:r w:rsidR="00C13DEA">
          <w:rPr>
            <w:noProof/>
            <w:webHidden/>
          </w:rPr>
          <w:t>23</w:t>
        </w:r>
        <w:r w:rsidR="00C55251">
          <w:rPr>
            <w:noProof/>
            <w:webHidden/>
          </w:rPr>
          <w:fldChar w:fldCharType="end"/>
        </w:r>
      </w:hyperlink>
    </w:p>
    <w:p w14:paraId="109C04DD" w14:textId="7920F6D6" w:rsidR="00C55251" w:rsidRDefault="00B511DE">
      <w:pPr>
        <w:pStyle w:val="TOC2"/>
        <w:rPr>
          <w:rFonts w:asciiTheme="minorHAnsi" w:eastAsiaTheme="minorEastAsia" w:hAnsiTheme="minorHAnsi" w:cstheme="minorBidi"/>
          <w:noProof/>
          <w:sz w:val="22"/>
          <w:szCs w:val="22"/>
          <w:lang w:eastAsia="en-GB" w:bidi="ar-SA"/>
        </w:rPr>
      </w:pPr>
      <w:hyperlink w:anchor="_Toc34830897" w:history="1">
        <w:r w:rsidR="00C55251" w:rsidRPr="00586DC6">
          <w:rPr>
            <w:rStyle w:val="Hyperlink"/>
            <w:noProof/>
          </w:rPr>
          <w:t>5.1 Key Components</w:t>
        </w:r>
        <w:r w:rsidR="00C55251">
          <w:rPr>
            <w:noProof/>
            <w:webHidden/>
          </w:rPr>
          <w:tab/>
        </w:r>
        <w:r w:rsidR="00C55251">
          <w:rPr>
            <w:noProof/>
            <w:webHidden/>
          </w:rPr>
          <w:fldChar w:fldCharType="begin"/>
        </w:r>
        <w:r w:rsidR="00C55251">
          <w:rPr>
            <w:noProof/>
            <w:webHidden/>
          </w:rPr>
          <w:instrText xml:space="preserve"> PAGEREF _Toc34830897 \h </w:instrText>
        </w:r>
        <w:r w:rsidR="00C55251">
          <w:rPr>
            <w:noProof/>
            <w:webHidden/>
          </w:rPr>
        </w:r>
        <w:r w:rsidR="00C55251">
          <w:rPr>
            <w:noProof/>
            <w:webHidden/>
          </w:rPr>
          <w:fldChar w:fldCharType="separate"/>
        </w:r>
        <w:r w:rsidR="00C13DEA">
          <w:rPr>
            <w:noProof/>
            <w:webHidden/>
          </w:rPr>
          <w:t>23</w:t>
        </w:r>
        <w:r w:rsidR="00C55251">
          <w:rPr>
            <w:noProof/>
            <w:webHidden/>
          </w:rPr>
          <w:fldChar w:fldCharType="end"/>
        </w:r>
      </w:hyperlink>
    </w:p>
    <w:p w14:paraId="4C7347B5" w14:textId="2478D564" w:rsidR="00C55251" w:rsidRDefault="00B511DE">
      <w:pPr>
        <w:pStyle w:val="TOC2"/>
        <w:rPr>
          <w:rFonts w:asciiTheme="minorHAnsi" w:eastAsiaTheme="minorEastAsia" w:hAnsiTheme="minorHAnsi" w:cstheme="minorBidi"/>
          <w:noProof/>
          <w:sz w:val="22"/>
          <w:szCs w:val="22"/>
          <w:lang w:eastAsia="en-GB" w:bidi="ar-SA"/>
        </w:rPr>
      </w:pPr>
      <w:hyperlink w:anchor="_Toc34830898" w:history="1">
        <w:r w:rsidR="00C55251" w:rsidRPr="00586DC6">
          <w:rPr>
            <w:rStyle w:val="Hyperlink"/>
            <w:noProof/>
          </w:rPr>
          <w:t>5.2</w:t>
        </w:r>
        <w:r w:rsidR="00C55251">
          <w:rPr>
            <w:rFonts w:asciiTheme="minorHAnsi" w:eastAsiaTheme="minorEastAsia" w:hAnsiTheme="minorHAnsi" w:cstheme="minorBidi"/>
            <w:noProof/>
            <w:sz w:val="22"/>
            <w:szCs w:val="22"/>
            <w:lang w:eastAsia="en-GB" w:bidi="ar-SA"/>
          </w:rPr>
          <w:tab/>
        </w:r>
        <w:r w:rsidR="00C55251" w:rsidRPr="00586DC6">
          <w:rPr>
            <w:rStyle w:val="Hyperlink"/>
            <w:noProof/>
          </w:rPr>
          <w:t>Study design</w:t>
        </w:r>
        <w:r w:rsidR="00C55251">
          <w:rPr>
            <w:noProof/>
            <w:webHidden/>
          </w:rPr>
          <w:tab/>
        </w:r>
        <w:r w:rsidR="00C55251">
          <w:rPr>
            <w:noProof/>
            <w:webHidden/>
          </w:rPr>
          <w:fldChar w:fldCharType="begin"/>
        </w:r>
        <w:r w:rsidR="00C55251">
          <w:rPr>
            <w:noProof/>
            <w:webHidden/>
          </w:rPr>
          <w:instrText xml:space="preserve"> PAGEREF _Toc34830898 \h </w:instrText>
        </w:r>
        <w:r w:rsidR="00C55251">
          <w:rPr>
            <w:noProof/>
            <w:webHidden/>
          </w:rPr>
        </w:r>
        <w:r w:rsidR="00C55251">
          <w:rPr>
            <w:noProof/>
            <w:webHidden/>
          </w:rPr>
          <w:fldChar w:fldCharType="separate"/>
        </w:r>
        <w:r w:rsidR="00C13DEA">
          <w:rPr>
            <w:noProof/>
            <w:webHidden/>
          </w:rPr>
          <w:t>24</w:t>
        </w:r>
        <w:r w:rsidR="00C55251">
          <w:rPr>
            <w:noProof/>
            <w:webHidden/>
          </w:rPr>
          <w:fldChar w:fldCharType="end"/>
        </w:r>
      </w:hyperlink>
    </w:p>
    <w:p w14:paraId="7D92D825" w14:textId="56E982C1" w:rsidR="00C55251" w:rsidRDefault="00B511DE">
      <w:pPr>
        <w:pStyle w:val="TOC2"/>
        <w:rPr>
          <w:rFonts w:asciiTheme="minorHAnsi" w:eastAsiaTheme="minorEastAsia" w:hAnsiTheme="minorHAnsi" w:cstheme="minorBidi"/>
          <w:noProof/>
          <w:sz w:val="22"/>
          <w:szCs w:val="22"/>
          <w:lang w:eastAsia="en-GB" w:bidi="ar-SA"/>
        </w:rPr>
      </w:pPr>
      <w:hyperlink w:anchor="_Toc34830899" w:history="1">
        <w:r w:rsidR="00C55251" w:rsidRPr="00586DC6">
          <w:rPr>
            <w:rStyle w:val="Hyperlink"/>
            <w:noProof/>
          </w:rPr>
          <w:t>5.3</w:t>
        </w:r>
        <w:r w:rsidR="00C55251">
          <w:rPr>
            <w:rFonts w:asciiTheme="minorHAnsi" w:eastAsiaTheme="minorEastAsia" w:hAnsiTheme="minorHAnsi" w:cstheme="minorBidi"/>
            <w:noProof/>
            <w:sz w:val="22"/>
            <w:szCs w:val="22"/>
            <w:lang w:eastAsia="en-GB" w:bidi="ar-SA"/>
          </w:rPr>
          <w:tab/>
        </w:r>
        <w:r w:rsidR="00C55251" w:rsidRPr="00586DC6">
          <w:rPr>
            <w:rStyle w:val="Hyperlink"/>
            <w:noProof/>
          </w:rPr>
          <w:t>Analyses of key components in soybean grain</w:t>
        </w:r>
        <w:r w:rsidR="00C55251">
          <w:rPr>
            <w:noProof/>
            <w:webHidden/>
          </w:rPr>
          <w:tab/>
        </w:r>
        <w:r w:rsidR="00C55251">
          <w:rPr>
            <w:noProof/>
            <w:webHidden/>
          </w:rPr>
          <w:fldChar w:fldCharType="begin"/>
        </w:r>
        <w:r w:rsidR="00C55251">
          <w:rPr>
            <w:noProof/>
            <w:webHidden/>
          </w:rPr>
          <w:instrText xml:space="preserve"> PAGEREF _Toc34830899 \h </w:instrText>
        </w:r>
        <w:r w:rsidR="00C55251">
          <w:rPr>
            <w:noProof/>
            <w:webHidden/>
          </w:rPr>
        </w:r>
        <w:r w:rsidR="00C55251">
          <w:rPr>
            <w:noProof/>
            <w:webHidden/>
          </w:rPr>
          <w:fldChar w:fldCharType="separate"/>
        </w:r>
        <w:r w:rsidR="00C13DEA">
          <w:rPr>
            <w:noProof/>
            <w:webHidden/>
          </w:rPr>
          <w:t>25</w:t>
        </w:r>
        <w:r w:rsidR="00C55251">
          <w:rPr>
            <w:noProof/>
            <w:webHidden/>
          </w:rPr>
          <w:fldChar w:fldCharType="end"/>
        </w:r>
      </w:hyperlink>
    </w:p>
    <w:p w14:paraId="057B0B24" w14:textId="4D855E75" w:rsidR="00C55251" w:rsidRDefault="00B511DE">
      <w:pPr>
        <w:pStyle w:val="TOC2"/>
        <w:rPr>
          <w:rFonts w:asciiTheme="minorHAnsi" w:eastAsiaTheme="minorEastAsia" w:hAnsiTheme="minorHAnsi" w:cstheme="minorBidi"/>
          <w:noProof/>
          <w:sz w:val="22"/>
          <w:szCs w:val="22"/>
          <w:lang w:eastAsia="en-GB" w:bidi="ar-SA"/>
        </w:rPr>
      </w:pPr>
      <w:hyperlink w:anchor="_Toc34830900" w:history="1">
        <w:r w:rsidR="00C55251" w:rsidRPr="00586DC6">
          <w:rPr>
            <w:rStyle w:val="Hyperlink"/>
            <w:noProof/>
          </w:rPr>
          <w:t xml:space="preserve">5.4 </w:t>
        </w:r>
        <w:r w:rsidR="00C55251">
          <w:rPr>
            <w:rFonts w:asciiTheme="minorHAnsi" w:eastAsiaTheme="minorEastAsia" w:hAnsiTheme="minorHAnsi" w:cstheme="minorBidi"/>
            <w:noProof/>
            <w:sz w:val="22"/>
            <w:szCs w:val="22"/>
            <w:lang w:eastAsia="en-GB" w:bidi="ar-SA"/>
          </w:rPr>
          <w:tab/>
        </w:r>
        <w:r w:rsidR="00C55251" w:rsidRPr="00586DC6">
          <w:rPr>
            <w:rStyle w:val="Hyperlink"/>
            <w:noProof/>
          </w:rPr>
          <w:t>Conclusion</w:t>
        </w:r>
        <w:r w:rsidR="00C55251">
          <w:rPr>
            <w:noProof/>
            <w:webHidden/>
          </w:rPr>
          <w:tab/>
        </w:r>
        <w:r w:rsidR="00C55251">
          <w:rPr>
            <w:noProof/>
            <w:webHidden/>
          </w:rPr>
          <w:fldChar w:fldCharType="begin"/>
        </w:r>
        <w:r w:rsidR="00C55251">
          <w:rPr>
            <w:noProof/>
            <w:webHidden/>
          </w:rPr>
          <w:instrText xml:space="preserve"> PAGEREF _Toc34830900 \h </w:instrText>
        </w:r>
        <w:r w:rsidR="00C55251">
          <w:rPr>
            <w:noProof/>
            <w:webHidden/>
          </w:rPr>
        </w:r>
        <w:r w:rsidR="00C55251">
          <w:rPr>
            <w:noProof/>
            <w:webHidden/>
          </w:rPr>
          <w:fldChar w:fldCharType="separate"/>
        </w:r>
        <w:r w:rsidR="00C13DEA">
          <w:rPr>
            <w:noProof/>
            <w:webHidden/>
          </w:rPr>
          <w:t>28</w:t>
        </w:r>
        <w:r w:rsidR="00C55251">
          <w:rPr>
            <w:noProof/>
            <w:webHidden/>
          </w:rPr>
          <w:fldChar w:fldCharType="end"/>
        </w:r>
      </w:hyperlink>
    </w:p>
    <w:p w14:paraId="5C6715C1" w14:textId="6F7E761C" w:rsidR="00C55251" w:rsidRDefault="00B511DE">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34830901" w:history="1">
        <w:r w:rsidR="00C55251" w:rsidRPr="00586DC6">
          <w:rPr>
            <w:rStyle w:val="Hyperlink"/>
            <w:noProof/>
          </w:rPr>
          <w:t xml:space="preserve">6 </w:t>
        </w:r>
        <w:r w:rsidR="00C55251">
          <w:rPr>
            <w:rFonts w:asciiTheme="minorHAnsi" w:eastAsiaTheme="minorEastAsia" w:hAnsiTheme="minorHAnsi" w:cstheme="minorBidi"/>
            <w:b w:val="0"/>
            <w:bCs w:val="0"/>
            <w:caps w:val="0"/>
            <w:noProof/>
            <w:sz w:val="22"/>
            <w:szCs w:val="22"/>
            <w:lang w:eastAsia="en-GB" w:bidi="ar-SA"/>
          </w:rPr>
          <w:tab/>
        </w:r>
        <w:r w:rsidR="00C55251" w:rsidRPr="00586DC6">
          <w:rPr>
            <w:rStyle w:val="Hyperlink"/>
            <w:noProof/>
          </w:rPr>
          <w:t>Nutritional impact</w:t>
        </w:r>
        <w:r w:rsidR="00C55251">
          <w:rPr>
            <w:noProof/>
            <w:webHidden/>
          </w:rPr>
          <w:tab/>
        </w:r>
        <w:r w:rsidR="00C55251">
          <w:rPr>
            <w:noProof/>
            <w:webHidden/>
          </w:rPr>
          <w:fldChar w:fldCharType="begin"/>
        </w:r>
        <w:r w:rsidR="00C55251">
          <w:rPr>
            <w:noProof/>
            <w:webHidden/>
          </w:rPr>
          <w:instrText xml:space="preserve"> PAGEREF _Toc34830901 \h </w:instrText>
        </w:r>
        <w:r w:rsidR="00C55251">
          <w:rPr>
            <w:noProof/>
            <w:webHidden/>
          </w:rPr>
        </w:r>
        <w:r w:rsidR="00C55251">
          <w:rPr>
            <w:noProof/>
            <w:webHidden/>
          </w:rPr>
          <w:fldChar w:fldCharType="separate"/>
        </w:r>
        <w:r w:rsidR="00C13DEA">
          <w:rPr>
            <w:noProof/>
            <w:webHidden/>
          </w:rPr>
          <w:t>29</w:t>
        </w:r>
        <w:r w:rsidR="00C55251">
          <w:rPr>
            <w:noProof/>
            <w:webHidden/>
          </w:rPr>
          <w:fldChar w:fldCharType="end"/>
        </w:r>
      </w:hyperlink>
    </w:p>
    <w:p w14:paraId="79BA775C" w14:textId="6DD8F3EF" w:rsidR="00C55251" w:rsidRDefault="00B511DE">
      <w:pPr>
        <w:pStyle w:val="TOC1"/>
        <w:tabs>
          <w:tab w:val="left" w:pos="440"/>
          <w:tab w:val="right" w:leader="dot" w:pos="9060"/>
        </w:tabs>
        <w:rPr>
          <w:rFonts w:asciiTheme="minorHAnsi" w:eastAsiaTheme="minorEastAsia" w:hAnsiTheme="minorHAnsi" w:cstheme="minorBidi"/>
          <w:b w:val="0"/>
          <w:bCs w:val="0"/>
          <w:caps w:val="0"/>
          <w:noProof/>
          <w:sz w:val="22"/>
          <w:szCs w:val="22"/>
          <w:lang w:eastAsia="en-GB" w:bidi="ar-SA"/>
        </w:rPr>
      </w:pPr>
      <w:hyperlink w:anchor="_Toc34830902" w:history="1">
        <w:r w:rsidR="00C55251" w:rsidRPr="00586DC6">
          <w:rPr>
            <w:rStyle w:val="Hyperlink"/>
            <w:noProof/>
          </w:rPr>
          <w:t>7</w:t>
        </w:r>
        <w:r w:rsidR="00C55251">
          <w:rPr>
            <w:rFonts w:asciiTheme="minorHAnsi" w:eastAsiaTheme="minorEastAsia" w:hAnsiTheme="minorHAnsi" w:cstheme="minorBidi"/>
            <w:b w:val="0"/>
            <w:bCs w:val="0"/>
            <w:caps w:val="0"/>
            <w:noProof/>
            <w:sz w:val="22"/>
            <w:szCs w:val="22"/>
            <w:lang w:eastAsia="en-GB" w:bidi="ar-SA"/>
          </w:rPr>
          <w:tab/>
        </w:r>
        <w:r w:rsidR="00C55251" w:rsidRPr="00586DC6">
          <w:rPr>
            <w:rStyle w:val="Hyperlink"/>
            <w:noProof/>
          </w:rPr>
          <w:t>References</w:t>
        </w:r>
        <w:r w:rsidR="00C55251">
          <w:rPr>
            <w:noProof/>
            <w:webHidden/>
          </w:rPr>
          <w:tab/>
        </w:r>
        <w:r w:rsidR="00C55251">
          <w:rPr>
            <w:noProof/>
            <w:webHidden/>
          </w:rPr>
          <w:fldChar w:fldCharType="begin"/>
        </w:r>
        <w:r w:rsidR="00C55251">
          <w:rPr>
            <w:noProof/>
            <w:webHidden/>
          </w:rPr>
          <w:instrText xml:space="preserve"> PAGEREF _Toc34830902 \h </w:instrText>
        </w:r>
        <w:r w:rsidR="00C55251">
          <w:rPr>
            <w:noProof/>
            <w:webHidden/>
          </w:rPr>
        </w:r>
        <w:r w:rsidR="00C55251">
          <w:rPr>
            <w:noProof/>
            <w:webHidden/>
          </w:rPr>
          <w:fldChar w:fldCharType="separate"/>
        </w:r>
        <w:r w:rsidR="00C13DEA">
          <w:rPr>
            <w:noProof/>
            <w:webHidden/>
          </w:rPr>
          <w:t>30</w:t>
        </w:r>
        <w:r w:rsidR="00C55251">
          <w:rPr>
            <w:noProof/>
            <w:webHidden/>
          </w:rPr>
          <w:fldChar w:fldCharType="end"/>
        </w:r>
      </w:hyperlink>
    </w:p>
    <w:p w14:paraId="26B82DC2" w14:textId="52E92A6F" w:rsidR="00562917" w:rsidRPr="00ED65DA" w:rsidRDefault="00C55251" w:rsidP="00051ED9">
      <w:pPr>
        <w:rPr>
          <w:rFonts w:cs="Arial"/>
          <w:sz w:val="20"/>
          <w:szCs w:val="20"/>
        </w:rPr>
      </w:pPr>
      <w:r>
        <w:rPr>
          <w:rFonts w:cs="Arial"/>
          <w:b/>
          <w:bCs/>
          <w:caps/>
          <w:szCs w:val="20"/>
        </w:rPr>
        <w:fldChar w:fldCharType="end"/>
      </w:r>
    </w:p>
    <w:p w14:paraId="02C0204E" w14:textId="77777777" w:rsidR="00E066BA" w:rsidRPr="00ED65DA" w:rsidRDefault="00E066BA" w:rsidP="00051ED9">
      <w:pPr>
        <w:rPr>
          <w:rFonts w:cs="Arial"/>
          <w:sz w:val="20"/>
          <w:szCs w:val="20"/>
        </w:rPr>
      </w:pPr>
    </w:p>
    <w:p w14:paraId="6A21BDE7" w14:textId="77777777" w:rsidR="008546BD" w:rsidRDefault="008546BD">
      <w:pPr>
        <w:widowControl/>
      </w:pPr>
      <w:r>
        <w:br w:type="page"/>
      </w:r>
    </w:p>
    <w:p w14:paraId="33F00954" w14:textId="77777777" w:rsidR="008546BD" w:rsidRDefault="008546BD" w:rsidP="008546BD">
      <w:pPr>
        <w:pStyle w:val="Heading3"/>
      </w:pPr>
      <w:bookmarkStart w:id="35" w:name="_Toc482255798"/>
      <w:bookmarkStart w:id="36" w:name="_Toc496169764"/>
      <w:bookmarkStart w:id="37" w:name="_Toc500321325"/>
      <w:r>
        <w:t>Index of Figures</w:t>
      </w:r>
      <w:bookmarkEnd w:id="35"/>
      <w:bookmarkEnd w:id="36"/>
      <w:bookmarkEnd w:id="37"/>
    </w:p>
    <w:tbl>
      <w:tblPr>
        <w:tblStyle w:val="TableGrid"/>
        <w:tblW w:w="9486" w:type="dxa"/>
        <w:tblLook w:val="04A0" w:firstRow="1" w:lastRow="0" w:firstColumn="1" w:lastColumn="0" w:noHBand="0" w:noVBand="1"/>
        <w:tblCaption w:val="Index of Figures"/>
        <w:tblDescription w:val="A list of the figures presented in this document, included the page numbers."/>
      </w:tblPr>
      <w:tblGrid>
        <w:gridCol w:w="1173"/>
        <w:gridCol w:w="7413"/>
        <w:gridCol w:w="900"/>
      </w:tblGrid>
      <w:tr w:rsidR="008546BD" w14:paraId="07C94477" w14:textId="77777777" w:rsidTr="007C7D6B">
        <w:trPr>
          <w:tblHeader/>
        </w:trPr>
        <w:tc>
          <w:tcPr>
            <w:tcW w:w="1173" w:type="dxa"/>
            <w:shd w:val="clear" w:color="auto" w:fill="7F7F7F" w:themeFill="text1" w:themeFillTint="80"/>
          </w:tcPr>
          <w:p w14:paraId="1AA29FEE" w14:textId="77777777" w:rsidR="008546BD" w:rsidRPr="007C7D6B" w:rsidRDefault="008546BD" w:rsidP="00337305">
            <w:pPr>
              <w:rPr>
                <w:color w:val="FFFFFF" w:themeColor="background1"/>
                <w:lang w:val="en-AU"/>
              </w:rPr>
            </w:pPr>
          </w:p>
        </w:tc>
        <w:tc>
          <w:tcPr>
            <w:tcW w:w="7413" w:type="dxa"/>
            <w:shd w:val="clear" w:color="auto" w:fill="7F7F7F" w:themeFill="text1" w:themeFillTint="80"/>
            <w:vAlign w:val="center"/>
          </w:tcPr>
          <w:p w14:paraId="6BDE1AB7" w14:textId="77777777" w:rsidR="008546BD" w:rsidRPr="007C7D6B" w:rsidRDefault="008546BD" w:rsidP="00337305">
            <w:pPr>
              <w:pStyle w:val="FSTableHeading"/>
              <w:jc w:val="left"/>
              <w:rPr>
                <w:color w:val="FFFFFF" w:themeColor="background1"/>
                <w:lang w:val="en-AU"/>
              </w:rPr>
            </w:pPr>
            <w:r w:rsidRPr="007C7D6B">
              <w:rPr>
                <w:color w:val="FFFFFF" w:themeColor="background1"/>
                <w:lang w:val="en-AU"/>
              </w:rPr>
              <w:t>Title</w:t>
            </w:r>
          </w:p>
        </w:tc>
        <w:tc>
          <w:tcPr>
            <w:tcW w:w="900" w:type="dxa"/>
            <w:shd w:val="clear" w:color="auto" w:fill="7F7F7F" w:themeFill="text1" w:themeFillTint="80"/>
            <w:vAlign w:val="center"/>
          </w:tcPr>
          <w:p w14:paraId="42B3D398" w14:textId="77777777" w:rsidR="008546BD" w:rsidRPr="007C7D6B" w:rsidRDefault="008546BD" w:rsidP="00337305">
            <w:pPr>
              <w:pStyle w:val="FSTableHeading"/>
              <w:rPr>
                <w:color w:val="FFFFFF" w:themeColor="background1"/>
                <w:lang w:val="en-AU"/>
              </w:rPr>
            </w:pPr>
            <w:r w:rsidRPr="007C7D6B">
              <w:rPr>
                <w:color w:val="FFFFFF" w:themeColor="background1"/>
                <w:lang w:val="en-AU"/>
              </w:rPr>
              <w:t>Page</w:t>
            </w:r>
          </w:p>
        </w:tc>
      </w:tr>
      <w:tr w:rsidR="008546BD" w14:paraId="2ADDCA3C" w14:textId="77777777" w:rsidTr="00337305">
        <w:tc>
          <w:tcPr>
            <w:tcW w:w="1173" w:type="dxa"/>
          </w:tcPr>
          <w:p w14:paraId="4F543F54" w14:textId="7A249C73" w:rsidR="008546BD" w:rsidRDefault="00B511DE" w:rsidP="00337305">
            <w:pPr>
              <w:pStyle w:val="FSTableText"/>
              <w:spacing w:before="20" w:after="20"/>
              <w:rPr>
                <w:lang w:val="en-AU"/>
              </w:rPr>
            </w:pPr>
            <w:hyperlink w:anchor="Figure1" w:history="1">
              <w:r w:rsidR="008546BD" w:rsidRPr="00337305">
                <w:rPr>
                  <w:rStyle w:val="Hyperlink"/>
                </w:rPr>
                <w:t>Figure 1</w:t>
              </w:r>
            </w:hyperlink>
          </w:p>
        </w:tc>
        <w:tc>
          <w:tcPr>
            <w:tcW w:w="7413" w:type="dxa"/>
          </w:tcPr>
          <w:p w14:paraId="6E0E58E6" w14:textId="4C9963E1" w:rsidR="008546BD" w:rsidRPr="009F5B74" w:rsidRDefault="00337305" w:rsidP="00337305">
            <w:pPr>
              <w:pStyle w:val="FSTableText"/>
              <w:spacing w:before="20" w:after="20"/>
            </w:pPr>
            <w:r w:rsidRPr="00337305">
              <w:t>Plasmid map of pSZ8832</w:t>
            </w:r>
          </w:p>
        </w:tc>
        <w:tc>
          <w:tcPr>
            <w:tcW w:w="900" w:type="dxa"/>
            <w:vAlign w:val="center"/>
          </w:tcPr>
          <w:p w14:paraId="37755229" w14:textId="7F95899B" w:rsidR="008546BD" w:rsidRDefault="00337305" w:rsidP="00337305">
            <w:pPr>
              <w:pStyle w:val="FSTableText"/>
              <w:spacing w:before="20" w:after="20"/>
              <w:jc w:val="center"/>
              <w:rPr>
                <w:lang w:val="en-AU"/>
              </w:rPr>
            </w:pPr>
            <w:r>
              <w:rPr>
                <w:lang w:val="en-AU"/>
              </w:rPr>
              <w:t>10</w:t>
            </w:r>
          </w:p>
        </w:tc>
      </w:tr>
      <w:tr w:rsidR="008546BD" w14:paraId="7539A78F" w14:textId="77777777" w:rsidTr="007C7D6B">
        <w:tc>
          <w:tcPr>
            <w:tcW w:w="1173" w:type="dxa"/>
            <w:shd w:val="clear" w:color="auto" w:fill="D9D9D9" w:themeFill="background1" w:themeFillShade="D9"/>
          </w:tcPr>
          <w:p w14:paraId="19A42363" w14:textId="493D2689" w:rsidR="008546BD" w:rsidRDefault="00B511DE" w:rsidP="00337305">
            <w:pPr>
              <w:pStyle w:val="FSTableText"/>
              <w:spacing w:before="20" w:after="20"/>
              <w:rPr>
                <w:lang w:val="en-AU"/>
              </w:rPr>
            </w:pPr>
            <w:hyperlink w:anchor="Figure2" w:history="1">
              <w:r w:rsidR="008546BD" w:rsidRPr="00337305">
                <w:rPr>
                  <w:rStyle w:val="Hyperlink"/>
                </w:rPr>
                <w:t>Figure 2</w:t>
              </w:r>
            </w:hyperlink>
          </w:p>
        </w:tc>
        <w:tc>
          <w:tcPr>
            <w:tcW w:w="7413" w:type="dxa"/>
            <w:shd w:val="clear" w:color="auto" w:fill="D9D9D9" w:themeFill="background1" w:themeFillShade="D9"/>
          </w:tcPr>
          <w:p w14:paraId="48EE3A4C" w14:textId="06938B00" w:rsidR="008546BD" w:rsidRPr="009F5B74" w:rsidRDefault="00337305" w:rsidP="00337305">
            <w:pPr>
              <w:pStyle w:val="FSTableText"/>
              <w:spacing w:before="20" w:after="20"/>
              <w:rPr>
                <w:lang w:val="en-AU"/>
              </w:rPr>
            </w:pPr>
            <w:r w:rsidRPr="00337305">
              <w:t>Breeding path used in the characterisation of the GMB151 line</w:t>
            </w:r>
          </w:p>
        </w:tc>
        <w:tc>
          <w:tcPr>
            <w:tcW w:w="900" w:type="dxa"/>
            <w:shd w:val="clear" w:color="auto" w:fill="D9D9D9" w:themeFill="background1" w:themeFillShade="D9"/>
            <w:vAlign w:val="center"/>
          </w:tcPr>
          <w:p w14:paraId="763F4B53" w14:textId="1B2D1CA1" w:rsidR="008546BD" w:rsidRDefault="00337305" w:rsidP="00337305">
            <w:pPr>
              <w:pStyle w:val="FSTableText"/>
              <w:spacing w:before="20" w:after="20"/>
              <w:jc w:val="center"/>
              <w:rPr>
                <w:lang w:val="en-AU"/>
              </w:rPr>
            </w:pPr>
            <w:r>
              <w:rPr>
                <w:lang w:val="en-AU"/>
              </w:rPr>
              <w:t>12</w:t>
            </w:r>
          </w:p>
        </w:tc>
      </w:tr>
      <w:tr w:rsidR="008546BD" w14:paraId="6B1550B5" w14:textId="77777777" w:rsidTr="00337305">
        <w:tc>
          <w:tcPr>
            <w:tcW w:w="1173" w:type="dxa"/>
          </w:tcPr>
          <w:p w14:paraId="3FDE1541" w14:textId="25E6070D" w:rsidR="008546BD" w:rsidRDefault="00B511DE" w:rsidP="00337305">
            <w:pPr>
              <w:pStyle w:val="FSTableText"/>
              <w:spacing w:before="20" w:after="20"/>
              <w:rPr>
                <w:lang w:val="en-AU"/>
              </w:rPr>
            </w:pPr>
            <w:hyperlink w:anchor="Figure3" w:history="1">
              <w:r w:rsidR="008546BD" w:rsidRPr="00932B03">
                <w:rPr>
                  <w:rStyle w:val="Hyperlink"/>
                </w:rPr>
                <w:t>Figure 3</w:t>
              </w:r>
            </w:hyperlink>
          </w:p>
        </w:tc>
        <w:tc>
          <w:tcPr>
            <w:tcW w:w="7413" w:type="dxa"/>
          </w:tcPr>
          <w:p w14:paraId="45E245A4" w14:textId="0EC445DD" w:rsidR="008546BD" w:rsidRPr="009F5B74" w:rsidRDefault="002F082A" w:rsidP="00337305">
            <w:pPr>
              <w:pStyle w:val="FSTableText"/>
              <w:spacing w:before="20" w:after="20"/>
              <w:rPr>
                <w:lang w:val="en-AU"/>
              </w:rPr>
            </w:pPr>
            <w:r w:rsidRPr="002F082A">
              <w:t>Tryptic peptide map of the GMB151-produced Cry14Ab1 protein</w:t>
            </w:r>
          </w:p>
        </w:tc>
        <w:tc>
          <w:tcPr>
            <w:tcW w:w="900" w:type="dxa"/>
            <w:vAlign w:val="center"/>
          </w:tcPr>
          <w:p w14:paraId="1496750E" w14:textId="2837126C" w:rsidR="008546BD" w:rsidRDefault="00337305" w:rsidP="00337305">
            <w:pPr>
              <w:pStyle w:val="FSTableText"/>
              <w:spacing w:before="20" w:after="20"/>
              <w:jc w:val="center"/>
              <w:rPr>
                <w:lang w:val="en-AU"/>
              </w:rPr>
            </w:pPr>
            <w:r>
              <w:rPr>
                <w:lang w:val="en-AU"/>
              </w:rPr>
              <w:t>16</w:t>
            </w:r>
          </w:p>
        </w:tc>
      </w:tr>
      <w:tr w:rsidR="008546BD" w14:paraId="2F50E6C2" w14:textId="77777777" w:rsidTr="007C7D6B">
        <w:tc>
          <w:tcPr>
            <w:tcW w:w="1173" w:type="dxa"/>
            <w:shd w:val="clear" w:color="auto" w:fill="D9D9D9" w:themeFill="background1" w:themeFillShade="D9"/>
          </w:tcPr>
          <w:p w14:paraId="2BC6198E" w14:textId="2CFC71D1" w:rsidR="008546BD" w:rsidRDefault="00B511DE" w:rsidP="00337305">
            <w:pPr>
              <w:pStyle w:val="FSTableText"/>
              <w:spacing w:before="20" w:after="20"/>
              <w:rPr>
                <w:lang w:val="en-AU"/>
              </w:rPr>
            </w:pPr>
            <w:hyperlink w:anchor="Figure4" w:history="1">
              <w:r w:rsidR="008546BD" w:rsidRPr="00932B03">
                <w:rPr>
                  <w:rStyle w:val="Hyperlink"/>
                </w:rPr>
                <w:t>Figure 4</w:t>
              </w:r>
            </w:hyperlink>
          </w:p>
        </w:tc>
        <w:tc>
          <w:tcPr>
            <w:tcW w:w="7413" w:type="dxa"/>
            <w:shd w:val="clear" w:color="auto" w:fill="D9D9D9" w:themeFill="background1" w:themeFillShade="D9"/>
          </w:tcPr>
          <w:p w14:paraId="69CF2258" w14:textId="6672757D" w:rsidR="008546BD" w:rsidRPr="009F5B74" w:rsidRDefault="00932B03" w:rsidP="00337305">
            <w:pPr>
              <w:pStyle w:val="FSTableText"/>
              <w:spacing w:before="20" w:after="20"/>
              <w:rPr>
                <w:lang w:val="en-AU"/>
              </w:rPr>
            </w:pPr>
            <w:r w:rsidRPr="00932B03">
              <w:rPr>
                <w:lang w:val="en-AU"/>
              </w:rPr>
              <w:t>Tryptic Peptide Map of the GMB151-produced HPPD-4 protein</w:t>
            </w:r>
          </w:p>
        </w:tc>
        <w:tc>
          <w:tcPr>
            <w:tcW w:w="900" w:type="dxa"/>
            <w:shd w:val="clear" w:color="auto" w:fill="D9D9D9" w:themeFill="background1" w:themeFillShade="D9"/>
            <w:vAlign w:val="center"/>
          </w:tcPr>
          <w:p w14:paraId="4A6567EE" w14:textId="1F477742" w:rsidR="008546BD" w:rsidRDefault="00337305" w:rsidP="00337305">
            <w:pPr>
              <w:pStyle w:val="FSTableText"/>
              <w:spacing w:before="20" w:after="20"/>
              <w:jc w:val="center"/>
              <w:rPr>
                <w:lang w:val="en-AU"/>
              </w:rPr>
            </w:pPr>
            <w:r>
              <w:rPr>
                <w:lang w:val="en-AU"/>
              </w:rPr>
              <w:t>20</w:t>
            </w:r>
          </w:p>
        </w:tc>
      </w:tr>
    </w:tbl>
    <w:p w14:paraId="10D23FF5" w14:textId="77777777" w:rsidR="008546BD" w:rsidRDefault="008546BD" w:rsidP="008546BD">
      <w:pPr>
        <w:pStyle w:val="Heading3"/>
      </w:pPr>
      <w:bookmarkStart w:id="38" w:name="_Toc482255799"/>
      <w:bookmarkStart w:id="39" w:name="_Toc496169765"/>
      <w:bookmarkStart w:id="40" w:name="_Toc500321326"/>
      <w:r>
        <w:t>Index of Tables</w:t>
      </w:r>
      <w:bookmarkEnd w:id="38"/>
      <w:bookmarkEnd w:id="39"/>
      <w:bookmarkEnd w:id="40"/>
    </w:p>
    <w:tbl>
      <w:tblPr>
        <w:tblStyle w:val="TableGrid"/>
        <w:tblW w:w="9478" w:type="dxa"/>
        <w:tblLook w:val="04A0" w:firstRow="1" w:lastRow="0" w:firstColumn="1" w:lastColumn="0" w:noHBand="0" w:noVBand="1"/>
        <w:tblCaption w:val="Index of Tables"/>
        <w:tblDescription w:val="A list of the tables used in this document, included a reference to the page number the table appears."/>
      </w:tblPr>
      <w:tblGrid>
        <w:gridCol w:w="1106"/>
        <w:gridCol w:w="7470"/>
        <w:gridCol w:w="902"/>
      </w:tblGrid>
      <w:tr w:rsidR="008546BD" w14:paraId="45EC96D1" w14:textId="77777777" w:rsidTr="007C7D6B">
        <w:trPr>
          <w:tblHeader/>
        </w:trPr>
        <w:tc>
          <w:tcPr>
            <w:tcW w:w="1106" w:type="dxa"/>
            <w:shd w:val="clear" w:color="auto" w:fill="7F7F7F" w:themeFill="text1" w:themeFillTint="80"/>
          </w:tcPr>
          <w:p w14:paraId="6CEC6528" w14:textId="77777777" w:rsidR="008546BD" w:rsidRPr="007C7D6B" w:rsidRDefault="008546BD" w:rsidP="00337305">
            <w:pPr>
              <w:rPr>
                <w:color w:val="FFFFFF" w:themeColor="background1"/>
                <w:lang w:val="en-AU"/>
              </w:rPr>
            </w:pPr>
          </w:p>
        </w:tc>
        <w:tc>
          <w:tcPr>
            <w:tcW w:w="7470" w:type="dxa"/>
            <w:shd w:val="clear" w:color="auto" w:fill="7F7F7F" w:themeFill="text1" w:themeFillTint="80"/>
            <w:vAlign w:val="center"/>
          </w:tcPr>
          <w:p w14:paraId="43F1907D" w14:textId="77777777" w:rsidR="008546BD" w:rsidRPr="007C7D6B" w:rsidRDefault="008546BD" w:rsidP="00337305">
            <w:pPr>
              <w:pStyle w:val="FSTableHeading"/>
              <w:jc w:val="left"/>
              <w:rPr>
                <w:color w:val="FFFFFF" w:themeColor="background1"/>
                <w:lang w:val="en-AU"/>
              </w:rPr>
            </w:pPr>
            <w:r w:rsidRPr="007C7D6B">
              <w:rPr>
                <w:color w:val="FFFFFF" w:themeColor="background1"/>
                <w:lang w:val="en-AU"/>
              </w:rPr>
              <w:t>Title</w:t>
            </w:r>
          </w:p>
        </w:tc>
        <w:tc>
          <w:tcPr>
            <w:tcW w:w="902" w:type="dxa"/>
            <w:shd w:val="clear" w:color="auto" w:fill="7F7F7F" w:themeFill="text1" w:themeFillTint="80"/>
            <w:vAlign w:val="center"/>
          </w:tcPr>
          <w:p w14:paraId="2540E70D" w14:textId="77777777" w:rsidR="008546BD" w:rsidRPr="007C7D6B" w:rsidRDefault="008546BD" w:rsidP="00337305">
            <w:pPr>
              <w:pStyle w:val="FSTableHeading"/>
              <w:rPr>
                <w:color w:val="FFFFFF" w:themeColor="background1"/>
                <w:lang w:val="en-AU"/>
              </w:rPr>
            </w:pPr>
            <w:r w:rsidRPr="007C7D6B">
              <w:rPr>
                <w:color w:val="FFFFFF" w:themeColor="background1"/>
                <w:lang w:val="en-AU"/>
              </w:rPr>
              <w:t>Page</w:t>
            </w:r>
          </w:p>
        </w:tc>
      </w:tr>
      <w:tr w:rsidR="008546BD" w14:paraId="5DE17702" w14:textId="77777777" w:rsidTr="00337305">
        <w:tc>
          <w:tcPr>
            <w:tcW w:w="1106" w:type="dxa"/>
          </w:tcPr>
          <w:p w14:paraId="2062B981" w14:textId="52997AE7" w:rsidR="008546BD" w:rsidRDefault="00B511DE" w:rsidP="00337305">
            <w:pPr>
              <w:pStyle w:val="FSTableText"/>
              <w:spacing w:before="20" w:after="20"/>
              <w:rPr>
                <w:lang w:val="en-AU"/>
              </w:rPr>
            </w:pPr>
            <w:hyperlink w:anchor="Table1" w:history="1">
              <w:r w:rsidR="008546BD" w:rsidRPr="00337305">
                <w:rPr>
                  <w:rStyle w:val="Hyperlink"/>
                </w:rPr>
                <w:t>Table 1</w:t>
              </w:r>
            </w:hyperlink>
          </w:p>
        </w:tc>
        <w:tc>
          <w:tcPr>
            <w:tcW w:w="7470" w:type="dxa"/>
          </w:tcPr>
          <w:p w14:paraId="06733AB8" w14:textId="5CEAE5BE" w:rsidR="008546BD" w:rsidRDefault="00337305" w:rsidP="00337305">
            <w:pPr>
              <w:pStyle w:val="FSTableText"/>
              <w:spacing w:before="20" w:after="20"/>
              <w:rPr>
                <w:lang w:val="en-AU"/>
              </w:rPr>
            </w:pPr>
            <w:r>
              <w:t>Food product groups derived from soybean</w:t>
            </w:r>
          </w:p>
        </w:tc>
        <w:tc>
          <w:tcPr>
            <w:tcW w:w="902" w:type="dxa"/>
            <w:vAlign w:val="center"/>
          </w:tcPr>
          <w:p w14:paraId="0DA068CF" w14:textId="00FC87A8" w:rsidR="008546BD" w:rsidRDefault="00337305" w:rsidP="00337305">
            <w:pPr>
              <w:pStyle w:val="FSTableText"/>
              <w:spacing w:before="20" w:after="20"/>
              <w:jc w:val="center"/>
              <w:rPr>
                <w:lang w:val="en-AU"/>
              </w:rPr>
            </w:pPr>
            <w:r>
              <w:rPr>
                <w:lang w:val="en-AU"/>
              </w:rPr>
              <w:t>8</w:t>
            </w:r>
          </w:p>
        </w:tc>
      </w:tr>
      <w:tr w:rsidR="008546BD" w14:paraId="4D477056" w14:textId="77777777" w:rsidTr="007C7D6B">
        <w:tc>
          <w:tcPr>
            <w:tcW w:w="1106" w:type="dxa"/>
            <w:shd w:val="clear" w:color="auto" w:fill="D9D9D9" w:themeFill="background1" w:themeFillShade="D9"/>
          </w:tcPr>
          <w:p w14:paraId="2D9F6F34" w14:textId="1D205A81" w:rsidR="008546BD" w:rsidRDefault="00B511DE" w:rsidP="00337305">
            <w:pPr>
              <w:pStyle w:val="FSTableText"/>
              <w:spacing w:before="20" w:after="20"/>
              <w:rPr>
                <w:lang w:val="en-AU"/>
              </w:rPr>
            </w:pPr>
            <w:hyperlink w:anchor="Table2" w:history="1">
              <w:r w:rsidR="008546BD" w:rsidRPr="00337305">
                <w:rPr>
                  <w:rStyle w:val="Hyperlink"/>
                </w:rPr>
                <w:t>Table 2</w:t>
              </w:r>
            </w:hyperlink>
          </w:p>
        </w:tc>
        <w:tc>
          <w:tcPr>
            <w:tcW w:w="7470" w:type="dxa"/>
            <w:shd w:val="clear" w:color="auto" w:fill="D9D9D9" w:themeFill="background1" w:themeFillShade="D9"/>
          </w:tcPr>
          <w:p w14:paraId="5879F1CF" w14:textId="3C0B29F6" w:rsidR="008546BD" w:rsidRDefault="00337305" w:rsidP="00337305">
            <w:pPr>
              <w:pStyle w:val="FSTableText"/>
              <w:spacing w:before="20" w:after="20"/>
              <w:rPr>
                <w:lang w:val="en-AU"/>
              </w:rPr>
            </w:pPr>
            <w:r w:rsidRPr="00337305">
              <w:t>The genetic elements contained in the T-DNA region of pSZ8832</w:t>
            </w:r>
          </w:p>
        </w:tc>
        <w:tc>
          <w:tcPr>
            <w:tcW w:w="902" w:type="dxa"/>
            <w:shd w:val="clear" w:color="auto" w:fill="D9D9D9" w:themeFill="background1" w:themeFillShade="D9"/>
            <w:vAlign w:val="center"/>
          </w:tcPr>
          <w:p w14:paraId="593E7CD2" w14:textId="4BF3FF69" w:rsidR="008546BD" w:rsidRDefault="00337305" w:rsidP="00337305">
            <w:pPr>
              <w:pStyle w:val="FSTableText"/>
              <w:spacing w:before="20" w:after="20"/>
              <w:jc w:val="center"/>
              <w:rPr>
                <w:lang w:val="en-AU"/>
              </w:rPr>
            </w:pPr>
            <w:r>
              <w:rPr>
                <w:lang w:val="en-AU"/>
              </w:rPr>
              <w:t>11</w:t>
            </w:r>
          </w:p>
        </w:tc>
      </w:tr>
      <w:tr w:rsidR="008546BD" w14:paraId="25C3DD4F" w14:textId="77777777" w:rsidTr="00337305">
        <w:tc>
          <w:tcPr>
            <w:tcW w:w="1106" w:type="dxa"/>
          </w:tcPr>
          <w:p w14:paraId="48AD6A3C" w14:textId="6142EFBA" w:rsidR="008546BD" w:rsidRDefault="00B511DE" w:rsidP="00337305">
            <w:pPr>
              <w:pStyle w:val="FSTableText"/>
              <w:spacing w:before="20" w:after="20"/>
              <w:rPr>
                <w:lang w:val="en-AU"/>
              </w:rPr>
            </w:pPr>
            <w:hyperlink w:anchor="Table3" w:history="1">
              <w:r w:rsidR="008546BD" w:rsidRPr="00337305">
                <w:rPr>
                  <w:rStyle w:val="Hyperlink"/>
                </w:rPr>
                <w:t>Table 3</w:t>
              </w:r>
            </w:hyperlink>
          </w:p>
        </w:tc>
        <w:tc>
          <w:tcPr>
            <w:tcW w:w="7470" w:type="dxa"/>
          </w:tcPr>
          <w:p w14:paraId="3FD15537" w14:textId="52B39675" w:rsidR="008546BD" w:rsidRDefault="00337305" w:rsidP="00337305">
            <w:pPr>
              <w:pStyle w:val="FSTableText"/>
              <w:spacing w:before="20" w:after="20"/>
              <w:rPr>
                <w:lang w:val="en-AU"/>
              </w:rPr>
            </w:pPr>
            <w:r w:rsidRPr="00337305">
              <w:rPr>
                <w:lang w:val="en-AU"/>
              </w:rPr>
              <w:t>Molecular characterisation studies performed in GMB151</w:t>
            </w:r>
          </w:p>
        </w:tc>
        <w:tc>
          <w:tcPr>
            <w:tcW w:w="902" w:type="dxa"/>
            <w:vAlign w:val="center"/>
          </w:tcPr>
          <w:p w14:paraId="5CBEFB84" w14:textId="0636D8DE" w:rsidR="008546BD" w:rsidRDefault="008546BD" w:rsidP="00337305">
            <w:pPr>
              <w:pStyle w:val="FSTableText"/>
              <w:spacing w:before="20" w:after="20"/>
              <w:jc w:val="center"/>
              <w:rPr>
                <w:lang w:val="en-AU"/>
              </w:rPr>
            </w:pPr>
            <w:r>
              <w:rPr>
                <w:lang w:val="en-AU"/>
              </w:rPr>
              <w:t>1</w:t>
            </w:r>
            <w:r w:rsidR="00337305">
              <w:rPr>
                <w:lang w:val="en-AU"/>
              </w:rPr>
              <w:t>3</w:t>
            </w:r>
          </w:p>
        </w:tc>
      </w:tr>
      <w:tr w:rsidR="008546BD" w14:paraId="17FFF00E" w14:textId="77777777" w:rsidTr="007C7D6B">
        <w:tc>
          <w:tcPr>
            <w:tcW w:w="1106" w:type="dxa"/>
            <w:shd w:val="clear" w:color="auto" w:fill="D9D9D9" w:themeFill="background1" w:themeFillShade="D9"/>
          </w:tcPr>
          <w:p w14:paraId="660DD7D2" w14:textId="76A8E132" w:rsidR="008546BD" w:rsidRDefault="00B511DE" w:rsidP="00337305">
            <w:pPr>
              <w:pStyle w:val="FSTableText"/>
              <w:spacing w:before="20" w:after="20"/>
              <w:rPr>
                <w:lang w:val="en-AU"/>
              </w:rPr>
            </w:pPr>
            <w:hyperlink w:anchor="Table4" w:history="1">
              <w:r w:rsidR="008546BD" w:rsidRPr="002F082A">
                <w:rPr>
                  <w:rStyle w:val="Hyperlink"/>
                </w:rPr>
                <w:t>Table 4</w:t>
              </w:r>
            </w:hyperlink>
          </w:p>
        </w:tc>
        <w:tc>
          <w:tcPr>
            <w:tcW w:w="7470" w:type="dxa"/>
            <w:shd w:val="clear" w:color="auto" w:fill="D9D9D9" w:themeFill="background1" w:themeFillShade="D9"/>
          </w:tcPr>
          <w:p w14:paraId="3C1D6F00" w14:textId="01D40F23" w:rsidR="008546BD" w:rsidRDefault="002F082A" w:rsidP="00337305">
            <w:pPr>
              <w:pStyle w:val="FSTableText"/>
              <w:spacing w:before="20" w:after="20"/>
              <w:rPr>
                <w:lang w:val="en-AU"/>
              </w:rPr>
            </w:pPr>
            <w:r w:rsidRPr="002F082A">
              <w:rPr>
                <w:lang w:val="en-AU"/>
              </w:rPr>
              <w:t>Segregation results for GMB151 x CC1 in F2 and BC2F2</w:t>
            </w:r>
          </w:p>
        </w:tc>
        <w:tc>
          <w:tcPr>
            <w:tcW w:w="902" w:type="dxa"/>
            <w:shd w:val="clear" w:color="auto" w:fill="D9D9D9" w:themeFill="background1" w:themeFillShade="D9"/>
            <w:vAlign w:val="center"/>
          </w:tcPr>
          <w:p w14:paraId="5038396D" w14:textId="04FACADB" w:rsidR="008546BD" w:rsidRDefault="008546BD" w:rsidP="00337305">
            <w:pPr>
              <w:pStyle w:val="FSTableText"/>
              <w:spacing w:before="20" w:after="20"/>
              <w:jc w:val="center"/>
              <w:rPr>
                <w:lang w:val="en-AU"/>
              </w:rPr>
            </w:pPr>
            <w:r>
              <w:rPr>
                <w:lang w:val="en-AU"/>
              </w:rPr>
              <w:t>1</w:t>
            </w:r>
            <w:r w:rsidR="00337305">
              <w:rPr>
                <w:lang w:val="en-AU"/>
              </w:rPr>
              <w:t>4</w:t>
            </w:r>
          </w:p>
        </w:tc>
      </w:tr>
      <w:tr w:rsidR="008546BD" w14:paraId="76894467" w14:textId="77777777" w:rsidTr="00337305">
        <w:tc>
          <w:tcPr>
            <w:tcW w:w="1106" w:type="dxa"/>
          </w:tcPr>
          <w:p w14:paraId="50A8FA50" w14:textId="5728F707" w:rsidR="008546BD" w:rsidRDefault="00B511DE" w:rsidP="00337305">
            <w:pPr>
              <w:pStyle w:val="FSTableText"/>
              <w:spacing w:before="20" w:after="20"/>
              <w:rPr>
                <w:lang w:val="en-AU"/>
              </w:rPr>
            </w:pPr>
            <w:hyperlink w:anchor="Table5" w:history="1">
              <w:r w:rsidR="008546BD" w:rsidRPr="002F082A">
                <w:rPr>
                  <w:rStyle w:val="Hyperlink"/>
                </w:rPr>
                <w:t>Table 5</w:t>
              </w:r>
            </w:hyperlink>
          </w:p>
        </w:tc>
        <w:tc>
          <w:tcPr>
            <w:tcW w:w="7470" w:type="dxa"/>
          </w:tcPr>
          <w:p w14:paraId="7D97B5DC" w14:textId="0A38B9F5" w:rsidR="008546BD" w:rsidRDefault="002F082A" w:rsidP="00337305">
            <w:pPr>
              <w:pStyle w:val="FSTableText"/>
              <w:spacing w:before="20" w:after="20"/>
              <w:rPr>
                <w:lang w:val="en-AU"/>
              </w:rPr>
            </w:pPr>
            <w:r w:rsidRPr="002F082A">
              <w:rPr>
                <w:lang w:val="en-AU"/>
              </w:rPr>
              <w:t>Segregation results for GMB151 x CC2 in F2, BC1F2 and BC2F2</w:t>
            </w:r>
          </w:p>
        </w:tc>
        <w:tc>
          <w:tcPr>
            <w:tcW w:w="902" w:type="dxa"/>
            <w:vAlign w:val="center"/>
          </w:tcPr>
          <w:p w14:paraId="4028C137" w14:textId="2F449D0A" w:rsidR="008546BD" w:rsidRDefault="008546BD" w:rsidP="00337305">
            <w:pPr>
              <w:pStyle w:val="FSTableText"/>
              <w:spacing w:before="20" w:after="20"/>
              <w:jc w:val="center"/>
              <w:rPr>
                <w:lang w:val="en-AU"/>
              </w:rPr>
            </w:pPr>
            <w:r>
              <w:rPr>
                <w:lang w:val="en-AU"/>
              </w:rPr>
              <w:t>1</w:t>
            </w:r>
            <w:r w:rsidR="00337305">
              <w:rPr>
                <w:lang w:val="en-AU"/>
              </w:rPr>
              <w:t>4</w:t>
            </w:r>
          </w:p>
        </w:tc>
      </w:tr>
      <w:tr w:rsidR="008546BD" w14:paraId="0D14BCAE" w14:textId="77777777" w:rsidTr="007C7D6B">
        <w:tc>
          <w:tcPr>
            <w:tcW w:w="1106" w:type="dxa"/>
            <w:shd w:val="clear" w:color="auto" w:fill="D9D9D9" w:themeFill="background1" w:themeFillShade="D9"/>
          </w:tcPr>
          <w:p w14:paraId="0B121311" w14:textId="028A7A65" w:rsidR="008546BD" w:rsidRDefault="00B511DE" w:rsidP="00337305">
            <w:pPr>
              <w:pStyle w:val="FSTableText"/>
              <w:spacing w:before="20" w:after="20"/>
              <w:rPr>
                <w:lang w:val="en-AU"/>
              </w:rPr>
            </w:pPr>
            <w:hyperlink w:anchor="Table6" w:history="1">
              <w:r w:rsidR="008546BD" w:rsidRPr="00932B03">
                <w:rPr>
                  <w:rStyle w:val="Hyperlink"/>
                </w:rPr>
                <w:t>Table 6</w:t>
              </w:r>
            </w:hyperlink>
          </w:p>
        </w:tc>
        <w:tc>
          <w:tcPr>
            <w:tcW w:w="7470" w:type="dxa"/>
            <w:shd w:val="clear" w:color="auto" w:fill="D9D9D9" w:themeFill="background1" w:themeFillShade="D9"/>
          </w:tcPr>
          <w:p w14:paraId="4F72192A" w14:textId="244A048D" w:rsidR="008546BD" w:rsidRDefault="00932B03" w:rsidP="00337305">
            <w:pPr>
              <w:pStyle w:val="FSTableText"/>
              <w:spacing w:before="20" w:after="20"/>
              <w:rPr>
                <w:lang w:val="en-AU"/>
              </w:rPr>
            </w:pPr>
            <w:r w:rsidRPr="00932B03">
              <w:rPr>
                <w:lang w:val="en-AU"/>
              </w:rPr>
              <w:t>Mean expression levels of Cry14Ab1 in GMB151 grain components</w:t>
            </w:r>
          </w:p>
        </w:tc>
        <w:tc>
          <w:tcPr>
            <w:tcW w:w="902" w:type="dxa"/>
            <w:shd w:val="clear" w:color="auto" w:fill="D9D9D9" w:themeFill="background1" w:themeFillShade="D9"/>
            <w:vAlign w:val="center"/>
          </w:tcPr>
          <w:p w14:paraId="673C3D9E" w14:textId="77777777" w:rsidR="008546BD" w:rsidRDefault="008546BD" w:rsidP="00337305">
            <w:pPr>
              <w:pStyle w:val="FSTableText"/>
              <w:spacing w:before="20" w:after="20"/>
              <w:jc w:val="center"/>
              <w:rPr>
                <w:lang w:val="en-AU"/>
              </w:rPr>
            </w:pPr>
            <w:r>
              <w:rPr>
                <w:lang w:val="en-AU"/>
              </w:rPr>
              <w:t>17</w:t>
            </w:r>
          </w:p>
        </w:tc>
      </w:tr>
      <w:tr w:rsidR="008546BD" w14:paraId="4B8F429F" w14:textId="77777777" w:rsidTr="00337305">
        <w:tc>
          <w:tcPr>
            <w:tcW w:w="1106" w:type="dxa"/>
          </w:tcPr>
          <w:p w14:paraId="6F97105C" w14:textId="06ACAB82" w:rsidR="008546BD" w:rsidRDefault="00B511DE" w:rsidP="00337305">
            <w:pPr>
              <w:pStyle w:val="FSTableText"/>
              <w:spacing w:before="20" w:after="20"/>
              <w:rPr>
                <w:lang w:val="en-AU"/>
              </w:rPr>
            </w:pPr>
            <w:hyperlink w:anchor="Table7" w:history="1">
              <w:r w:rsidR="008546BD" w:rsidRPr="00932B03">
                <w:rPr>
                  <w:rStyle w:val="Hyperlink"/>
                </w:rPr>
                <w:t>Table 7</w:t>
              </w:r>
            </w:hyperlink>
          </w:p>
        </w:tc>
        <w:tc>
          <w:tcPr>
            <w:tcW w:w="7470" w:type="dxa"/>
          </w:tcPr>
          <w:p w14:paraId="115B9F9F" w14:textId="2A01F827" w:rsidR="008546BD" w:rsidRDefault="00932B03" w:rsidP="00337305">
            <w:pPr>
              <w:pStyle w:val="FSTableText"/>
              <w:spacing w:before="20" w:after="20"/>
              <w:rPr>
                <w:lang w:val="en-AU"/>
              </w:rPr>
            </w:pPr>
            <w:r w:rsidRPr="00932B03">
              <w:rPr>
                <w:lang w:val="en-AU"/>
              </w:rPr>
              <w:t>Characterisation of HPPD-4 protein by mass spectrometry</w:t>
            </w:r>
          </w:p>
        </w:tc>
        <w:tc>
          <w:tcPr>
            <w:tcW w:w="902" w:type="dxa"/>
            <w:vAlign w:val="center"/>
          </w:tcPr>
          <w:p w14:paraId="03075688" w14:textId="77777777" w:rsidR="008546BD" w:rsidRDefault="008546BD" w:rsidP="00337305">
            <w:pPr>
              <w:pStyle w:val="FSTableText"/>
              <w:spacing w:before="20" w:after="20"/>
              <w:jc w:val="center"/>
              <w:rPr>
                <w:lang w:val="en-AU"/>
              </w:rPr>
            </w:pPr>
            <w:r>
              <w:rPr>
                <w:lang w:val="en-AU"/>
              </w:rPr>
              <w:t>20</w:t>
            </w:r>
          </w:p>
        </w:tc>
      </w:tr>
      <w:tr w:rsidR="008546BD" w14:paraId="180A5492" w14:textId="77777777" w:rsidTr="007C7D6B">
        <w:tc>
          <w:tcPr>
            <w:tcW w:w="1106" w:type="dxa"/>
            <w:shd w:val="clear" w:color="auto" w:fill="D9D9D9" w:themeFill="background1" w:themeFillShade="D9"/>
          </w:tcPr>
          <w:p w14:paraId="51FBB5D7" w14:textId="08E70CB4" w:rsidR="008546BD" w:rsidRDefault="00B511DE" w:rsidP="00337305">
            <w:pPr>
              <w:pStyle w:val="FSTableText"/>
              <w:spacing w:before="20" w:after="20"/>
              <w:rPr>
                <w:lang w:val="en-AU"/>
              </w:rPr>
            </w:pPr>
            <w:hyperlink w:anchor="Table8" w:history="1">
              <w:r w:rsidR="008546BD" w:rsidRPr="00932B03">
                <w:rPr>
                  <w:rStyle w:val="Hyperlink"/>
                </w:rPr>
                <w:t>Table 8</w:t>
              </w:r>
            </w:hyperlink>
          </w:p>
        </w:tc>
        <w:tc>
          <w:tcPr>
            <w:tcW w:w="7470" w:type="dxa"/>
            <w:shd w:val="clear" w:color="auto" w:fill="D9D9D9" w:themeFill="background1" w:themeFillShade="D9"/>
          </w:tcPr>
          <w:p w14:paraId="407BCF0C" w14:textId="53B9B316" w:rsidR="008546BD" w:rsidRDefault="00932B03" w:rsidP="00337305">
            <w:pPr>
              <w:pStyle w:val="FSTableText"/>
              <w:spacing w:before="20" w:after="20"/>
              <w:rPr>
                <w:lang w:val="en-AU"/>
              </w:rPr>
            </w:pPr>
            <w:r w:rsidRPr="00932B03">
              <w:rPr>
                <w:lang w:val="en-AU"/>
              </w:rPr>
              <w:t>Mean expression levels of HPPD-4 in GMB151 grain components</w:t>
            </w:r>
          </w:p>
        </w:tc>
        <w:tc>
          <w:tcPr>
            <w:tcW w:w="902" w:type="dxa"/>
            <w:shd w:val="clear" w:color="auto" w:fill="D9D9D9" w:themeFill="background1" w:themeFillShade="D9"/>
            <w:vAlign w:val="center"/>
          </w:tcPr>
          <w:p w14:paraId="68C2E64F" w14:textId="77777777" w:rsidR="008546BD" w:rsidRDefault="008546BD" w:rsidP="00337305">
            <w:pPr>
              <w:pStyle w:val="FSTableText"/>
              <w:spacing w:before="20" w:after="20"/>
              <w:jc w:val="center"/>
              <w:rPr>
                <w:lang w:val="en-AU"/>
              </w:rPr>
            </w:pPr>
            <w:r>
              <w:rPr>
                <w:lang w:val="en-AU"/>
              </w:rPr>
              <w:t>21</w:t>
            </w:r>
          </w:p>
        </w:tc>
      </w:tr>
      <w:tr w:rsidR="008546BD" w14:paraId="02D239DA" w14:textId="77777777" w:rsidTr="00337305">
        <w:tc>
          <w:tcPr>
            <w:tcW w:w="1106" w:type="dxa"/>
          </w:tcPr>
          <w:p w14:paraId="5F5B1FC8" w14:textId="04C5C246" w:rsidR="008546BD" w:rsidRDefault="00B511DE" w:rsidP="00337305">
            <w:pPr>
              <w:pStyle w:val="FSTableText"/>
              <w:spacing w:before="20" w:after="20"/>
              <w:rPr>
                <w:lang w:val="en-AU"/>
              </w:rPr>
            </w:pPr>
            <w:hyperlink w:anchor="Table9" w:history="1">
              <w:r w:rsidR="008546BD" w:rsidRPr="00400EFA">
                <w:rPr>
                  <w:rStyle w:val="Hyperlink"/>
                </w:rPr>
                <w:t>Table 9</w:t>
              </w:r>
            </w:hyperlink>
          </w:p>
        </w:tc>
        <w:tc>
          <w:tcPr>
            <w:tcW w:w="7470" w:type="dxa"/>
          </w:tcPr>
          <w:p w14:paraId="45DF2515" w14:textId="1E419AAA" w:rsidR="008546BD" w:rsidRDefault="00932B03" w:rsidP="00337305">
            <w:pPr>
              <w:pStyle w:val="FSTableText"/>
              <w:spacing w:before="20" w:after="20"/>
              <w:rPr>
                <w:lang w:val="en-AU"/>
              </w:rPr>
            </w:pPr>
            <w:r w:rsidRPr="00167844">
              <w:rPr>
                <w:lang w:val="en-AU"/>
              </w:rPr>
              <w:t>Com</w:t>
            </w:r>
            <w:r>
              <w:rPr>
                <w:lang w:val="en-AU"/>
              </w:rPr>
              <w:t>parison of Proximates and Fibre</w:t>
            </w:r>
          </w:p>
        </w:tc>
        <w:tc>
          <w:tcPr>
            <w:tcW w:w="902" w:type="dxa"/>
            <w:vAlign w:val="center"/>
          </w:tcPr>
          <w:p w14:paraId="1C9E5FE9" w14:textId="43F4BFAF" w:rsidR="008546BD" w:rsidRDefault="008546BD" w:rsidP="00337305">
            <w:pPr>
              <w:pStyle w:val="FSTableText"/>
              <w:spacing w:before="20" w:after="20"/>
              <w:jc w:val="center"/>
              <w:rPr>
                <w:lang w:val="en-AU"/>
              </w:rPr>
            </w:pPr>
            <w:r>
              <w:rPr>
                <w:lang w:val="en-AU"/>
              </w:rPr>
              <w:t>2</w:t>
            </w:r>
            <w:r w:rsidR="00337305">
              <w:rPr>
                <w:lang w:val="en-AU"/>
              </w:rPr>
              <w:t>4</w:t>
            </w:r>
          </w:p>
        </w:tc>
      </w:tr>
      <w:tr w:rsidR="00932B03" w14:paraId="235CEA13" w14:textId="77777777" w:rsidTr="007C7D6B">
        <w:tc>
          <w:tcPr>
            <w:tcW w:w="1106" w:type="dxa"/>
            <w:shd w:val="clear" w:color="auto" w:fill="D9D9D9" w:themeFill="background1" w:themeFillShade="D9"/>
          </w:tcPr>
          <w:p w14:paraId="56020941" w14:textId="7B737407" w:rsidR="00932B03" w:rsidRDefault="00B511DE" w:rsidP="00932B03">
            <w:pPr>
              <w:pStyle w:val="FSTableText"/>
              <w:spacing w:before="20" w:after="20"/>
              <w:rPr>
                <w:lang w:val="en-AU"/>
              </w:rPr>
            </w:pPr>
            <w:hyperlink w:anchor="Table10" w:history="1">
              <w:r w:rsidR="00932B03" w:rsidRPr="00400EFA">
                <w:rPr>
                  <w:rStyle w:val="Hyperlink"/>
                </w:rPr>
                <w:t>Table 10</w:t>
              </w:r>
            </w:hyperlink>
          </w:p>
        </w:tc>
        <w:tc>
          <w:tcPr>
            <w:tcW w:w="7470" w:type="dxa"/>
            <w:shd w:val="clear" w:color="auto" w:fill="D9D9D9" w:themeFill="background1" w:themeFillShade="D9"/>
          </w:tcPr>
          <w:p w14:paraId="2729F123" w14:textId="28AFB549" w:rsidR="00932B03" w:rsidRDefault="00932B03" w:rsidP="00932B03">
            <w:pPr>
              <w:pStyle w:val="FSTableText"/>
              <w:spacing w:before="20" w:after="20"/>
              <w:rPr>
                <w:lang w:val="en-AU"/>
              </w:rPr>
            </w:pPr>
            <w:r>
              <w:rPr>
                <w:lang w:val="en-AU"/>
              </w:rPr>
              <w:t>Comparison of Amino Acids</w:t>
            </w:r>
          </w:p>
        </w:tc>
        <w:tc>
          <w:tcPr>
            <w:tcW w:w="902" w:type="dxa"/>
            <w:shd w:val="clear" w:color="auto" w:fill="D9D9D9" w:themeFill="background1" w:themeFillShade="D9"/>
            <w:vAlign w:val="center"/>
          </w:tcPr>
          <w:p w14:paraId="0F149320" w14:textId="0567BC8B" w:rsidR="00932B03" w:rsidRDefault="00932B03" w:rsidP="00932B03">
            <w:pPr>
              <w:pStyle w:val="FSTableText"/>
              <w:spacing w:before="20" w:after="20"/>
              <w:jc w:val="center"/>
              <w:rPr>
                <w:lang w:val="en-AU"/>
              </w:rPr>
            </w:pPr>
            <w:r>
              <w:rPr>
                <w:lang w:val="en-AU"/>
              </w:rPr>
              <w:t>25</w:t>
            </w:r>
          </w:p>
        </w:tc>
      </w:tr>
      <w:tr w:rsidR="00932B03" w14:paraId="7F4D367A" w14:textId="77777777" w:rsidTr="00337305">
        <w:tc>
          <w:tcPr>
            <w:tcW w:w="1106" w:type="dxa"/>
          </w:tcPr>
          <w:p w14:paraId="3E8C9E43" w14:textId="1066C0FA" w:rsidR="00932B03" w:rsidRDefault="00B511DE" w:rsidP="00932B03">
            <w:pPr>
              <w:pStyle w:val="FSTableText"/>
              <w:spacing w:before="20" w:after="20"/>
              <w:rPr>
                <w:lang w:val="en-AU"/>
              </w:rPr>
            </w:pPr>
            <w:hyperlink w:anchor="Table11" w:history="1">
              <w:r w:rsidR="00932B03" w:rsidRPr="00400EFA">
                <w:rPr>
                  <w:rStyle w:val="Hyperlink"/>
                </w:rPr>
                <w:t>Table 11</w:t>
              </w:r>
            </w:hyperlink>
          </w:p>
        </w:tc>
        <w:tc>
          <w:tcPr>
            <w:tcW w:w="7470" w:type="dxa"/>
          </w:tcPr>
          <w:p w14:paraId="33A0557E" w14:textId="1077DB48" w:rsidR="00932B03" w:rsidRDefault="00932B03" w:rsidP="00400EFA">
            <w:pPr>
              <w:pStyle w:val="FSTableText"/>
              <w:spacing w:before="20" w:after="20"/>
              <w:rPr>
                <w:lang w:val="en-AU"/>
              </w:rPr>
            </w:pPr>
            <w:r w:rsidRPr="00647263">
              <w:rPr>
                <w:lang w:val="en-AU"/>
              </w:rPr>
              <w:t xml:space="preserve">Comparison of </w:t>
            </w:r>
            <w:r>
              <w:rPr>
                <w:lang w:val="en-AU"/>
              </w:rPr>
              <w:t>Vitamins</w:t>
            </w:r>
            <w:r w:rsidR="00400EFA">
              <w:rPr>
                <w:lang w:val="en-AU"/>
              </w:rPr>
              <w:t xml:space="preserve"> and Minerals</w:t>
            </w:r>
          </w:p>
        </w:tc>
        <w:tc>
          <w:tcPr>
            <w:tcW w:w="902" w:type="dxa"/>
            <w:vAlign w:val="center"/>
          </w:tcPr>
          <w:p w14:paraId="28FCA4DB" w14:textId="44D377FF" w:rsidR="00932B03" w:rsidRDefault="00932B03" w:rsidP="00932B03">
            <w:pPr>
              <w:pStyle w:val="FSTableText"/>
              <w:spacing w:before="20" w:after="20"/>
              <w:jc w:val="center"/>
              <w:rPr>
                <w:lang w:val="en-AU"/>
              </w:rPr>
            </w:pPr>
            <w:r>
              <w:rPr>
                <w:lang w:val="en-AU"/>
              </w:rPr>
              <w:t>26</w:t>
            </w:r>
          </w:p>
        </w:tc>
      </w:tr>
      <w:tr w:rsidR="00932B03" w14:paraId="2C2967F4" w14:textId="77777777" w:rsidTr="007C7D6B">
        <w:tc>
          <w:tcPr>
            <w:tcW w:w="1106" w:type="dxa"/>
            <w:shd w:val="clear" w:color="auto" w:fill="D9D9D9" w:themeFill="background1" w:themeFillShade="D9"/>
          </w:tcPr>
          <w:p w14:paraId="502FED1E" w14:textId="5A80E194" w:rsidR="00932B03" w:rsidRDefault="00B511DE" w:rsidP="00932B03">
            <w:pPr>
              <w:pStyle w:val="FSTableText"/>
              <w:spacing w:before="20" w:after="20"/>
              <w:rPr>
                <w:lang w:val="en-AU"/>
              </w:rPr>
            </w:pPr>
            <w:hyperlink w:anchor="Table12" w:history="1">
              <w:r w:rsidR="00932B03" w:rsidRPr="00400EFA">
                <w:rPr>
                  <w:rStyle w:val="Hyperlink"/>
                </w:rPr>
                <w:t>Table 12</w:t>
              </w:r>
            </w:hyperlink>
          </w:p>
        </w:tc>
        <w:tc>
          <w:tcPr>
            <w:tcW w:w="7470" w:type="dxa"/>
            <w:shd w:val="clear" w:color="auto" w:fill="D9D9D9" w:themeFill="background1" w:themeFillShade="D9"/>
          </w:tcPr>
          <w:p w14:paraId="59A8690B" w14:textId="68D0A108" w:rsidR="00932B03" w:rsidRDefault="00932B03" w:rsidP="00932B03">
            <w:pPr>
              <w:pStyle w:val="FSTableText"/>
              <w:spacing w:before="20" w:after="20"/>
              <w:rPr>
                <w:lang w:val="en-AU"/>
              </w:rPr>
            </w:pPr>
            <w:r w:rsidRPr="00827952">
              <w:t xml:space="preserve">Comparison of </w:t>
            </w:r>
            <w:r>
              <w:t>Fatty Acids</w:t>
            </w:r>
          </w:p>
        </w:tc>
        <w:tc>
          <w:tcPr>
            <w:tcW w:w="902" w:type="dxa"/>
            <w:shd w:val="clear" w:color="auto" w:fill="D9D9D9" w:themeFill="background1" w:themeFillShade="D9"/>
            <w:vAlign w:val="center"/>
          </w:tcPr>
          <w:p w14:paraId="2CD2C056" w14:textId="368519B4" w:rsidR="00932B03" w:rsidRDefault="00932B03" w:rsidP="00932B03">
            <w:pPr>
              <w:pStyle w:val="FSTableText"/>
              <w:spacing w:before="20" w:after="20"/>
              <w:jc w:val="center"/>
              <w:rPr>
                <w:lang w:val="en-AU"/>
              </w:rPr>
            </w:pPr>
            <w:r>
              <w:rPr>
                <w:lang w:val="en-AU"/>
              </w:rPr>
              <w:t>27</w:t>
            </w:r>
          </w:p>
        </w:tc>
      </w:tr>
      <w:tr w:rsidR="00932B03" w14:paraId="6CF436FE" w14:textId="77777777" w:rsidTr="00337305">
        <w:tc>
          <w:tcPr>
            <w:tcW w:w="1106" w:type="dxa"/>
          </w:tcPr>
          <w:p w14:paraId="59E3325B" w14:textId="6821A046" w:rsidR="00932B03" w:rsidRPr="00C66730" w:rsidRDefault="00B511DE" w:rsidP="00932B03">
            <w:pPr>
              <w:pStyle w:val="FSTableText"/>
              <w:spacing w:before="20" w:after="20"/>
            </w:pPr>
            <w:hyperlink w:anchor="Table13" w:history="1">
              <w:r w:rsidR="00932B03" w:rsidRPr="00400EFA">
                <w:rPr>
                  <w:rStyle w:val="Hyperlink"/>
                </w:rPr>
                <w:t>Table 13</w:t>
              </w:r>
            </w:hyperlink>
          </w:p>
        </w:tc>
        <w:tc>
          <w:tcPr>
            <w:tcW w:w="7470" w:type="dxa"/>
          </w:tcPr>
          <w:p w14:paraId="7C0FBBE0" w14:textId="26BEAE3D" w:rsidR="00932B03" w:rsidRPr="001A09F8" w:rsidRDefault="00932B03" w:rsidP="00932B03">
            <w:pPr>
              <w:pStyle w:val="FSTableText"/>
              <w:spacing w:before="20" w:after="20"/>
              <w:rPr>
                <w:lang w:val="en-AU"/>
              </w:rPr>
            </w:pPr>
            <w:r w:rsidRPr="00827952">
              <w:t xml:space="preserve">Comparison of </w:t>
            </w:r>
            <w:r>
              <w:t>Anti-nutrients</w:t>
            </w:r>
          </w:p>
        </w:tc>
        <w:tc>
          <w:tcPr>
            <w:tcW w:w="902" w:type="dxa"/>
            <w:vAlign w:val="center"/>
          </w:tcPr>
          <w:p w14:paraId="02A77305" w14:textId="783F186D" w:rsidR="00932B03" w:rsidRDefault="00932B03" w:rsidP="00932B03">
            <w:pPr>
              <w:pStyle w:val="FSTableText"/>
              <w:spacing w:before="20" w:after="20"/>
              <w:jc w:val="center"/>
              <w:rPr>
                <w:lang w:val="en-AU"/>
              </w:rPr>
            </w:pPr>
            <w:r>
              <w:rPr>
                <w:lang w:val="en-AU"/>
              </w:rPr>
              <w:t>27</w:t>
            </w:r>
          </w:p>
        </w:tc>
      </w:tr>
      <w:tr w:rsidR="00932B03" w14:paraId="40AAAF62" w14:textId="77777777" w:rsidTr="007C7D6B">
        <w:tc>
          <w:tcPr>
            <w:tcW w:w="1106" w:type="dxa"/>
            <w:shd w:val="clear" w:color="auto" w:fill="D9D9D9" w:themeFill="background1" w:themeFillShade="D9"/>
          </w:tcPr>
          <w:p w14:paraId="62BE24FB" w14:textId="698EF8F9" w:rsidR="00932B03" w:rsidRPr="00C66730" w:rsidRDefault="00B511DE" w:rsidP="00932B03">
            <w:pPr>
              <w:pStyle w:val="FSTableText"/>
              <w:spacing w:before="20" w:after="20"/>
            </w:pPr>
            <w:hyperlink w:anchor="Table14" w:history="1">
              <w:r w:rsidR="00932B03" w:rsidRPr="00400EFA">
                <w:rPr>
                  <w:rStyle w:val="Hyperlink"/>
                </w:rPr>
                <w:t>Table 14</w:t>
              </w:r>
            </w:hyperlink>
          </w:p>
        </w:tc>
        <w:tc>
          <w:tcPr>
            <w:tcW w:w="7470" w:type="dxa"/>
            <w:shd w:val="clear" w:color="auto" w:fill="D9D9D9" w:themeFill="background1" w:themeFillShade="D9"/>
          </w:tcPr>
          <w:p w14:paraId="339D8BD9" w14:textId="6441E1AC" w:rsidR="00932B03" w:rsidRPr="001A09F8" w:rsidRDefault="00932B03" w:rsidP="00400EFA">
            <w:pPr>
              <w:pStyle w:val="FSTableText"/>
              <w:spacing w:before="20" w:after="20"/>
              <w:rPr>
                <w:lang w:val="en-AU"/>
              </w:rPr>
            </w:pPr>
            <w:r w:rsidRPr="001A09F8">
              <w:rPr>
                <w:lang w:val="en-AU"/>
              </w:rPr>
              <w:t xml:space="preserve">Summary of statistically significant compositional differences between </w:t>
            </w:r>
            <w:r w:rsidR="00400EFA">
              <w:rPr>
                <w:lang w:val="en-AU"/>
              </w:rPr>
              <w:t>GMB151</w:t>
            </w:r>
            <w:r w:rsidRPr="001A09F8">
              <w:rPr>
                <w:lang w:val="en-AU"/>
              </w:rPr>
              <w:t xml:space="preserve"> and the parental control </w:t>
            </w:r>
            <w:r w:rsidR="00400EFA">
              <w:rPr>
                <w:lang w:val="en-AU"/>
              </w:rPr>
              <w:t>Thorne</w:t>
            </w:r>
            <w:r w:rsidRPr="001A09F8">
              <w:rPr>
                <w:lang w:val="en-AU"/>
              </w:rPr>
              <w:t>.</w:t>
            </w:r>
          </w:p>
        </w:tc>
        <w:tc>
          <w:tcPr>
            <w:tcW w:w="902" w:type="dxa"/>
            <w:shd w:val="clear" w:color="auto" w:fill="D9D9D9" w:themeFill="background1" w:themeFillShade="D9"/>
            <w:vAlign w:val="center"/>
          </w:tcPr>
          <w:p w14:paraId="3E0AD56E" w14:textId="4418DB6C" w:rsidR="00932B03" w:rsidRDefault="00932B03" w:rsidP="00932B03">
            <w:pPr>
              <w:pStyle w:val="FSTableText"/>
              <w:spacing w:before="20" w:after="20"/>
              <w:jc w:val="center"/>
              <w:rPr>
                <w:lang w:val="en-AU"/>
              </w:rPr>
            </w:pPr>
            <w:r>
              <w:rPr>
                <w:lang w:val="en-AU"/>
              </w:rPr>
              <w:t>28</w:t>
            </w:r>
          </w:p>
        </w:tc>
      </w:tr>
    </w:tbl>
    <w:p w14:paraId="4B85C4C5" w14:textId="77777777" w:rsidR="008546BD" w:rsidRPr="00EC1113" w:rsidRDefault="008546BD" w:rsidP="008546BD">
      <w:pPr>
        <w:pStyle w:val="Heading3"/>
        <w:ind w:left="0" w:firstLine="0"/>
      </w:pPr>
      <w:bookmarkStart w:id="41" w:name="_Toc482255800"/>
      <w:bookmarkStart w:id="42" w:name="_Toc496169766"/>
      <w:bookmarkStart w:id="43" w:name="_Toc500321327"/>
      <w:r w:rsidRPr="00EC1113">
        <w:t xml:space="preserve">List of </w:t>
      </w:r>
      <w:r>
        <w:t>A</w:t>
      </w:r>
      <w:r w:rsidRPr="00EC1113">
        <w:t>bbreviations</w:t>
      </w:r>
      <w:bookmarkEnd w:id="41"/>
      <w:bookmarkEnd w:id="42"/>
      <w:bookmarkEnd w:id="43"/>
    </w:p>
    <w:tbl>
      <w:tblPr>
        <w:tblStyle w:val="TableGrid"/>
        <w:tblW w:w="9487" w:type="dxa"/>
        <w:tblLook w:val="04A0" w:firstRow="1" w:lastRow="0" w:firstColumn="1" w:lastColumn="0" w:noHBand="0" w:noVBand="1"/>
        <w:tblCaption w:val="List of abbreviations"/>
        <w:tblDescription w:val="This table list the abbreviations used in this document"/>
      </w:tblPr>
      <w:tblGrid>
        <w:gridCol w:w="1761"/>
        <w:gridCol w:w="7726"/>
      </w:tblGrid>
      <w:tr w:rsidR="008546BD" w14:paraId="7F2C6ECF" w14:textId="77777777" w:rsidTr="00337305">
        <w:tc>
          <w:tcPr>
            <w:tcW w:w="1761" w:type="dxa"/>
            <w:vAlign w:val="center"/>
          </w:tcPr>
          <w:p w14:paraId="504079D4" w14:textId="77777777" w:rsidR="008546BD" w:rsidRDefault="008546BD" w:rsidP="00337305">
            <w:pPr>
              <w:rPr>
                <w:rFonts w:cs="Arial"/>
                <w:sz w:val="20"/>
                <w:szCs w:val="22"/>
                <w:lang w:val="en-AU"/>
              </w:rPr>
            </w:pPr>
            <w:r>
              <w:rPr>
                <w:rFonts w:cs="Arial"/>
                <w:sz w:val="20"/>
                <w:szCs w:val="22"/>
                <w:lang w:val="en-AU"/>
              </w:rPr>
              <w:t>APVMA</w:t>
            </w:r>
          </w:p>
        </w:tc>
        <w:tc>
          <w:tcPr>
            <w:tcW w:w="7726" w:type="dxa"/>
            <w:vAlign w:val="center"/>
          </w:tcPr>
          <w:p w14:paraId="548EA3BD" w14:textId="77777777" w:rsidR="008546BD" w:rsidRPr="009F5B74" w:rsidRDefault="008546BD" w:rsidP="00337305">
            <w:pPr>
              <w:rPr>
                <w:color w:val="000000" w:themeColor="text1"/>
                <w:sz w:val="20"/>
                <w:lang w:val="en-AU"/>
              </w:rPr>
            </w:pPr>
            <w:r w:rsidRPr="00205219">
              <w:rPr>
                <w:color w:val="000000" w:themeColor="text1"/>
                <w:sz w:val="20"/>
                <w:lang w:val="en-AU"/>
              </w:rPr>
              <w:t>Australian Pesticides And Veterinary Medicines Authority</w:t>
            </w:r>
          </w:p>
        </w:tc>
      </w:tr>
      <w:tr w:rsidR="008546BD" w14:paraId="744D5B96" w14:textId="77777777" w:rsidTr="007C7D6B">
        <w:tc>
          <w:tcPr>
            <w:tcW w:w="1761" w:type="dxa"/>
            <w:shd w:val="clear" w:color="auto" w:fill="D9D9D9" w:themeFill="background1" w:themeFillShade="D9"/>
            <w:vAlign w:val="center"/>
          </w:tcPr>
          <w:p w14:paraId="66A403A4" w14:textId="3D33855E" w:rsidR="008546BD" w:rsidRPr="005840AD" w:rsidRDefault="008546BD" w:rsidP="00337305">
            <w:pPr>
              <w:rPr>
                <w:rFonts w:cs="Arial"/>
                <w:sz w:val="20"/>
                <w:szCs w:val="22"/>
                <w:lang w:val="en-AU"/>
              </w:rPr>
            </w:pPr>
            <w:r>
              <w:rPr>
                <w:rFonts w:cs="Arial"/>
                <w:sz w:val="20"/>
                <w:szCs w:val="22"/>
                <w:lang w:val="en-AU"/>
              </w:rPr>
              <w:t>BC</w:t>
            </w:r>
            <w:r w:rsidR="0092310B">
              <w:rPr>
                <w:rFonts w:cs="Arial"/>
                <w:sz w:val="20"/>
                <w:szCs w:val="22"/>
                <w:lang w:val="en-AU"/>
              </w:rPr>
              <w:t xml:space="preserve"> / bc</w:t>
            </w:r>
          </w:p>
        </w:tc>
        <w:tc>
          <w:tcPr>
            <w:tcW w:w="7726" w:type="dxa"/>
            <w:shd w:val="clear" w:color="auto" w:fill="D9D9D9" w:themeFill="background1" w:themeFillShade="D9"/>
            <w:vAlign w:val="center"/>
          </w:tcPr>
          <w:p w14:paraId="3D2CA1F0" w14:textId="77777777" w:rsidR="008546BD" w:rsidRPr="005840AD" w:rsidRDefault="008546BD" w:rsidP="00337305">
            <w:pPr>
              <w:rPr>
                <w:rFonts w:cs="Arial"/>
                <w:sz w:val="20"/>
                <w:szCs w:val="22"/>
                <w:lang w:val="en-AU"/>
              </w:rPr>
            </w:pPr>
            <w:r>
              <w:rPr>
                <w:rFonts w:cs="Arial"/>
                <w:sz w:val="20"/>
                <w:szCs w:val="22"/>
                <w:lang w:val="en-AU"/>
              </w:rPr>
              <w:t>backcrossed</w:t>
            </w:r>
          </w:p>
        </w:tc>
      </w:tr>
      <w:tr w:rsidR="008546BD" w14:paraId="7961CE4E" w14:textId="77777777" w:rsidTr="00337305">
        <w:tc>
          <w:tcPr>
            <w:tcW w:w="1761" w:type="dxa"/>
            <w:vAlign w:val="center"/>
          </w:tcPr>
          <w:p w14:paraId="56BF7CCE" w14:textId="77777777" w:rsidR="008546BD" w:rsidRPr="005840AD" w:rsidRDefault="008546BD" w:rsidP="00337305">
            <w:pPr>
              <w:pStyle w:val="FSTableText"/>
              <w:spacing w:before="20" w:after="20"/>
              <w:rPr>
                <w:szCs w:val="22"/>
              </w:rPr>
            </w:pPr>
            <w:r>
              <w:rPr>
                <w:szCs w:val="22"/>
              </w:rPr>
              <w:t>BLOSUM</w:t>
            </w:r>
          </w:p>
        </w:tc>
        <w:tc>
          <w:tcPr>
            <w:tcW w:w="7726" w:type="dxa"/>
            <w:vAlign w:val="center"/>
          </w:tcPr>
          <w:p w14:paraId="0B23D9A9" w14:textId="77777777" w:rsidR="008546BD" w:rsidRPr="005840AD" w:rsidRDefault="008546BD" w:rsidP="00337305">
            <w:pPr>
              <w:pStyle w:val="FSTableText"/>
              <w:spacing w:before="20" w:after="20"/>
              <w:rPr>
                <w:szCs w:val="22"/>
              </w:rPr>
            </w:pPr>
            <w:r w:rsidRPr="00540D8A">
              <w:rPr>
                <w:szCs w:val="22"/>
              </w:rPr>
              <w:t>BLOcks SUbstitution Matrix</w:t>
            </w:r>
          </w:p>
        </w:tc>
      </w:tr>
      <w:tr w:rsidR="008546BD" w14:paraId="00B7EA21" w14:textId="77777777" w:rsidTr="007C7D6B">
        <w:tc>
          <w:tcPr>
            <w:tcW w:w="1761" w:type="dxa"/>
            <w:shd w:val="clear" w:color="auto" w:fill="D9D9D9" w:themeFill="background1" w:themeFillShade="D9"/>
            <w:vAlign w:val="center"/>
          </w:tcPr>
          <w:p w14:paraId="38348318" w14:textId="77777777" w:rsidR="008546BD" w:rsidRPr="005840AD" w:rsidRDefault="008546BD" w:rsidP="00337305">
            <w:pPr>
              <w:pStyle w:val="FSTableText"/>
              <w:spacing w:before="20" w:after="20"/>
              <w:rPr>
                <w:szCs w:val="22"/>
                <w:lang w:val="en-AU"/>
              </w:rPr>
            </w:pPr>
            <w:r w:rsidRPr="005840AD">
              <w:rPr>
                <w:szCs w:val="22"/>
              </w:rPr>
              <w:t>bp</w:t>
            </w:r>
          </w:p>
        </w:tc>
        <w:tc>
          <w:tcPr>
            <w:tcW w:w="7726" w:type="dxa"/>
            <w:shd w:val="clear" w:color="auto" w:fill="D9D9D9" w:themeFill="background1" w:themeFillShade="D9"/>
            <w:vAlign w:val="center"/>
          </w:tcPr>
          <w:p w14:paraId="5195F3D4" w14:textId="77777777" w:rsidR="008546BD" w:rsidRPr="005840AD" w:rsidRDefault="008546BD" w:rsidP="00337305">
            <w:pPr>
              <w:pStyle w:val="FSTableText"/>
              <w:spacing w:before="20" w:after="20"/>
              <w:rPr>
                <w:szCs w:val="22"/>
                <w:lang w:val="en-AU"/>
              </w:rPr>
            </w:pPr>
            <w:r w:rsidRPr="005840AD">
              <w:rPr>
                <w:szCs w:val="22"/>
              </w:rPr>
              <w:t>base pairs</w:t>
            </w:r>
          </w:p>
        </w:tc>
      </w:tr>
      <w:tr w:rsidR="008546BD" w14:paraId="78D6B7EF" w14:textId="77777777" w:rsidTr="00337305">
        <w:tc>
          <w:tcPr>
            <w:tcW w:w="1761" w:type="dxa"/>
            <w:vAlign w:val="center"/>
          </w:tcPr>
          <w:p w14:paraId="2A9DACDC" w14:textId="77777777" w:rsidR="008546BD" w:rsidRPr="005840AD" w:rsidRDefault="008546BD" w:rsidP="00337305">
            <w:pPr>
              <w:pStyle w:val="FSTableText"/>
              <w:spacing w:before="20" w:after="20"/>
              <w:rPr>
                <w:szCs w:val="22"/>
              </w:rPr>
            </w:pPr>
            <w:r>
              <w:rPr>
                <w:szCs w:val="22"/>
              </w:rPr>
              <w:t>Bt</w:t>
            </w:r>
          </w:p>
        </w:tc>
        <w:tc>
          <w:tcPr>
            <w:tcW w:w="7726" w:type="dxa"/>
            <w:vAlign w:val="center"/>
          </w:tcPr>
          <w:p w14:paraId="7DFD4897" w14:textId="77777777" w:rsidR="008546BD" w:rsidRPr="00205219" w:rsidRDefault="008546BD" w:rsidP="00337305">
            <w:pPr>
              <w:pStyle w:val="FSTableText"/>
              <w:spacing w:before="20" w:after="20"/>
              <w:rPr>
                <w:i/>
                <w:szCs w:val="22"/>
              </w:rPr>
            </w:pPr>
            <w:r w:rsidRPr="00205219">
              <w:rPr>
                <w:i/>
                <w:szCs w:val="22"/>
              </w:rPr>
              <w:t>Bacillus thuringiensis</w:t>
            </w:r>
          </w:p>
        </w:tc>
      </w:tr>
      <w:tr w:rsidR="008546BD" w14:paraId="5E9EC944" w14:textId="77777777" w:rsidTr="007C7D6B">
        <w:tc>
          <w:tcPr>
            <w:tcW w:w="1761" w:type="dxa"/>
            <w:shd w:val="clear" w:color="auto" w:fill="D9D9D9" w:themeFill="background1" w:themeFillShade="D9"/>
            <w:vAlign w:val="center"/>
          </w:tcPr>
          <w:p w14:paraId="605B43C8" w14:textId="77777777" w:rsidR="008546BD" w:rsidRDefault="008546BD" w:rsidP="00337305">
            <w:pPr>
              <w:pStyle w:val="FSTableText"/>
              <w:spacing w:before="20" w:after="20"/>
              <w:rPr>
                <w:szCs w:val="22"/>
              </w:rPr>
            </w:pPr>
            <w:r>
              <w:rPr>
                <w:szCs w:val="22"/>
              </w:rPr>
              <w:t>bw</w:t>
            </w:r>
          </w:p>
        </w:tc>
        <w:tc>
          <w:tcPr>
            <w:tcW w:w="7726" w:type="dxa"/>
            <w:shd w:val="clear" w:color="auto" w:fill="D9D9D9" w:themeFill="background1" w:themeFillShade="D9"/>
            <w:vAlign w:val="center"/>
          </w:tcPr>
          <w:p w14:paraId="28444884" w14:textId="77777777" w:rsidR="008546BD" w:rsidRPr="00A4450C" w:rsidRDefault="008546BD" w:rsidP="00337305">
            <w:pPr>
              <w:pStyle w:val="FSTableText"/>
              <w:spacing w:before="20" w:after="20"/>
              <w:rPr>
                <w:szCs w:val="22"/>
              </w:rPr>
            </w:pPr>
            <w:r>
              <w:rPr>
                <w:szCs w:val="22"/>
              </w:rPr>
              <w:t>b</w:t>
            </w:r>
            <w:r w:rsidRPr="00A4450C">
              <w:rPr>
                <w:szCs w:val="22"/>
              </w:rPr>
              <w:t>ody weight</w:t>
            </w:r>
          </w:p>
        </w:tc>
      </w:tr>
      <w:tr w:rsidR="008546BD" w14:paraId="2A2F6BFE" w14:textId="77777777" w:rsidTr="00337305">
        <w:tc>
          <w:tcPr>
            <w:tcW w:w="1761" w:type="dxa"/>
            <w:vAlign w:val="center"/>
          </w:tcPr>
          <w:p w14:paraId="3BA1D6D9" w14:textId="77777777" w:rsidR="008546BD" w:rsidRPr="005840AD" w:rsidRDefault="008546BD" w:rsidP="00337305">
            <w:pPr>
              <w:pStyle w:val="FSTableText"/>
              <w:spacing w:before="20" w:after="20"/>
              <w:rPr>
                <w:szCs w:val="22"/>
              </w:rPr>
            </w:pPr>
            <w:r>
              <w:rPr>
                <w:szCs w:val="22"/>
              </w:rPr>
              <w:t>COMPARE</w:t>
            </w:r>
          </w:p>
        </w:tc>
        <w:tc>
          <w:tcPr>
            <w:tcW w:w="7726" w:type="dxa"/>
            <w:vAlign w:val="center"/>
          </w:tcPr>
          <w:p w14:paraId="4ABC0598" w14:textId="77777777" w:rsidR="008546BD" w:rsidRPr="005840AD" w:rsidRDefault="008546BD" w:rsidP="00337305">
            <w:pPr>
              <w:pStyle w:val="FSTableText"/>
              <w:spacing w:before="20" w:after="20"/>
              <w:rPr>
                <w:szCs w:val="22"/>
              </w:rPr>
            </w:pPr>
            <w:r w:rsidRPr="00205219">
              <w:rPr>
                <w:szCs w:val="22"/>
              </w:rPr>
              <w:t>C</w:t>
            </w:r>
            <w:r>
              <w:rPr>
                <w:szCs w:val="22"/>
              </w:rPr>
              <w:t>OM</w:t>
            </w:r>
            <w:r w:rsidRPr="00205219">
              <w:rPr>
                <w:szCs w:val="22"/>
              </w:rPr>
              <w:t>prehensive Protein Allergen R</w:t>
            </w:r>
            <w:r>
              <w:rPr>
                <w:szCs w:val="22"/>
              </w:rPr>
              <w:t>E</w:t>
            </w:r>
            <w:r w:rsidRPr="00205219">
              <w:rPr>
                <w:szCs w:val="22"/>
              </w:rPr>
              <w:t>source</w:t>
            </w:r>
          </w:p>
        </w:tc>
      </w:tr>
      <w:tr w:rsidR="008546BD" w14:paraId="656DCD78" w14:textId="77777777" w:rsidTr="007C7D6B">
        <w:tc>
          <w:tcPr>
            <w:tcW w:w="1761" w:type="dxa"/>
            <w:shd w:val="clear" w:color="auto" w:fill="D9D9D9" w:themeFill="background1" w:themeFillShade="D9"/>
            <w:vAlign w:val="center"/>
          </w:tcPr>
          <w:p w14:paraId="784EA598" w14:textId="77777777" w:rsidR="008546BD" w:rsidRPr="005840AD" w:rsidRDefault="008546BD" w:rsidP="00337305">
            <w:pPr>
              <w:pStyle w:val="FSTableText"/>
              <w:spacing w:before="20" w:after="20"/>
              <w:rPr>
                <w:szCs w:val="22"/>
              </w:rPr>
            </w:pPr>
            <w:r>
              <w:rPr>
                <w:szCs w:val="22"/>
              </w:rPr>
              <w:t>Cry</w:t>
            </w:r>
          </w:p>
        </w:tc>
        <w:tc>
          <w:tcPr>
            <w:tcW w:w="7726" w:type="dxa"/>
            <w:shd w:val="clear" w:color="auto" w:fill="D9D9D9" w:themeFill="background1" w:themeFillShade="D9"/>
            <w:vAlign w:val="center"/>
          </w:tcPr>
          <w:p w14:paraId="7C33AC81" w14:textId="77777777" w:rsidR="008546BD" w:rsidRPr="005840AD" w:rsidRDefault="008546BD" w:rsidP="00337305">
            <w:pPr>
              <w:pStyle w:val="FSTableText"/>
              <w:spacing w:before="20" w:after="20"/>
              <w:rPr>
                <w:szCs w:val="22"/>
              </w:rPr>
            </w:pPr>
            <w:r>
              <w:rPr>
                <w:szCs w:val="22"/>
              </w:rPr>
              <w:t>crystalline protein</w:t>
            </w:r>
          </w:p>
        </w:tc>
      </w:tr>
      <w:tr w:rsidR="008546BD" w14:paraId="09A1F918" w14:textId="77777777" w:rsidTr="00337305">
        <w:tc>
          <w:tcPr>
            <w:tcW w:w="1761" w:type="dxa"/>
            <w:vAlign w:val="center"/>
          </w:tcPr>
          <w:p w14:paraId="40705121" w14:textId="77777777" w:rsidR="008546BD" w:rsidRPr="005840AD" w:rsidRDefault="008546BD" w:rsidP="00337305">
            <w:pPr>
              <w:pStyle w:val="FSTableText"/>
              <w:spacing w:before="20" w:after="20"/>
              <w:rPr>
                <w:szCs w:val="22"/>
              </w:rPr>
            </w:pPr>
            <w:r>
              <w:rPr>
                <w:szCs w:val="22"/>
              </w:rPr>
              <w:t>Da</w:t>
            </w:r>
          </w:p>
        </w:tc>
        <w:tc>
          <w:tcPr>
            <w:tcW w:w="7726" w:type="dxa"/>
            <w:vAlign w:val="center"/>
          </w:tcPr>
          <w:p w14:paraId="2FE54557" w14:textId="77777777" w:rsidR="008546BD" w:rsidRPr="005840AD" w:rsidRDefault="008546BD" w:rsidP="00337305">
            <w:pPr>
              <w:pStyle w:val="FSTableText"/>
              <w:spacing w:before="20" w:after="20"/>
              <w:rPr>
                <w:szCs w:val="22"/>
              </w:rPr>
            </w:pPr>
            <w:r>
              <w:rPr>
                <w:szCs w:val="22"/>
              </w:rPr>
              <w:t>dalton</w:t>
            </w:r>
          </w:p>
        </w:tc>
      </w:tr>
      <w:tr w:rsidR="008546BD" w14:paraId="2BC17E66" w14:textId="77777777" w:rsidTr="007C7D6B">
        <w:tc>
          <w:tcPr>
            <w:tcW w:w="1761" w:type="dxa"/>
            <w:shd w:val="clear" w:color="auto" w:fill="D9D9D9" w:themeFill="background1" w:themeFillShade="D9"/>
            <w:vAlign w:val="center"/>
          </w:tcPr>
          <w:p w14:paraId="25DDC312" w14:textId="77777777" w:rsidR="008546BD" w:rsidRPr="005840AD" w:rsidRDefault="008546BD" w:rsidP="00337305">
            <w:pPr>
              <w:pStyle w:val="FSTableText"/>
              <w:spacing w:before="20" w:after="20"/>
              <w:rPr>
                <w:szCs w:val="22"/>
                <w:lang w:val="en-AU"/>
              </w:rPr>
            </w:pPr>
            <w:r w:rsidRPr="005840AD">
              <w:rPr>
                <w:szCs w:val="22"/>
              </w:rPr>
              <w:t>DNA</w:t>
            </w:r>
          </w:p>
        </w:tc>
        <w:tc>
          <w:tcPr>
            <w:tcW w:w="7726" w:type="dxa"/>
            <w:shd w:val="clear" w:color="auto" w:fill="D9D9D9" w:themeFill="background1" w:themeFillShade="D9"/>
            <w:vAlign w:val="center"/>
          </w:tcPr>
          <w:p w14:paraId="4791499A" w14:textId="77777777" w:rsidR="008546BD" w:rsidRPr="005840AD" w:rsidRDefault="008546BD" w:rsidP="00337305">
            <w:pPr>
              <w:pStyle w:val="FSTableText"/>
              <w:spacing w:before="20" w:after="20"/>
              <w:rPr>
                <w:szCs w:val="22"/>
                <w:lang w:val="en-AU"/>
              </w:rPr>
            </w:pPr>
            <w:r w:rsidRPr="005840AD">
              <w:rPr>
                <w:szCs w:val="22"/>
              </w:rPr>
              <w:t>deoxyribonucleic acid</w:t>
            </w:r>
          </w:p>
        </w:tc>
      </w:tr>
      <w:tr w:rsidR="008546BD" w14:paraId="598110F4" w14:textId="77777777" w:rsidTr="00337305">
        <w:tc>
          <w:tcPr>
            <w:tcW w:w="1761" w:type="dxa"/>
            <w:vAlign w:val="center"/>
          </w:tcPr>
          <w:p w14:paraId="391AE6A6" w14:textId="77777777" w:rsidR="008546BD" w:rsidRPr="005840AD" w:rsidRDefault="008546BD" w:rsidP="00337305">
            <w:pPr>
              <w:pStyle w:val="FSTableText"/>
              <w:spacing w:before="20" w:after="20"/>
              <w:rPr>
                <w:szCs w:val="22"/>
              </w:rPr>
            </w:pPr>
            <w:r>
              <w:rPr>
                <w:szCs w:val="22"/>
              </w:rPr>
              <w:t>DW</w:t>
            </w:r>
          </w:p>
        </w:tc>
        <w:tc>
          <w:tcPr>
            <w:tcW w:w="7726" w:type="dxa"/>
            <w:vAlign w:val="center"/>
          </w:tcPr>
          <w:p w14:paraId="580F2EBE" w14:textId="77777777" w:rsidR="008546BD" w:rsidRPr="005840AD" w:rsidRDefault="008546BD" w:rsidP="00337305">
            <w:pPr>
              <w:pStyle w:val="FSTableText"/>
              <w:spacing w:before="20" w:after="20"/>
              <w:rPr>
                <w:szCs w:val="22"/>
              </w:rPr>
            </w:pPr>
            <w:r>
              <w:rPr>
                <w:szCs w:val="22"/>
              </w:rPr>
              <w:t>dry weight</w:t>
            </w:r>
          </w:p>
        </w:tc>
      </w:tr>
      <w:tr w:rsidR="0092310B" w14:paraId="09E18A17" w14:textId="77777777" w:rsidTr="007C7D6B">
        <w:tc>
          <w:tcPr>
            <w:tcW w:w="1761" w:type="dxa"/>
            <w:shd w:val="clear" w:color="auto" w:fill="D9D9D9" w:themeFill="background1" w:themeFillShade="D9"/>
            <w:vAlign w:val="center"/>
          </w:tcPr>
          <w:p w14:paraId="458D469F" w14:textId="250D2489" w:rsidR="0092310B" w:rsidRDefault="0092310B" w:rsidP="00337305">
            <w:pPr>
              <w:pStyle w:val="FSTableText"/>
              <w:spacing w:before="20" w:after="20"/>
              <w:rPr>
                <w:szCs w:val="22"/>
              </w:rPr>
            </w:pPr>
            <w:r>
              <w:rPr>
                <w:szCs w:val="22"/>
              </w:rPr>
              <w:t>ED</w:t>
            </w:r>
          </w:p>
        </w:tc>
        <w:tc>
          <w:tcPr>
            <w:tcW w:w="7726" w:type="dxa"/>
            <w:shd w:val="clear" w:color="auto" w:fill="D9D9D9" w:themeFill="background1" w:themeFillShade="D9"/>
            <w:vAlign w:val="center"/>
          </w:tcPr>
          <w:p w14:paraId="57DB0F29" w14:textId="434A6147" w:rsidR="0092310B" w:rsidRDefault="00482D46" w:rsidP="00482D46">
            <w:pPr>
              <w:pStyle w:val="FSTableText"/>
              <w:spacing w:before="20" w:after="20"/>
              <w:rPr>
                <w:szCs w:val="22"/>
              </w:rPr>
            </w:pPr>
            <w:r>
              <w:rPr>
                <w:szCs w:val="22"/>
              </w:rPr>
              <w:t>effective dose</w:t>
            </w:r>
          </w:p>
        </w:tc>
      </w:tr>
      <w:tr w:rsidR="008546BD" w14:paraId="72F7E5D0" w14:textId="77777777" w:rsidTr="00337305">
        <w:tc>
          <w:tcPr>
            <w:tcW w:w="1761" w:type="dxa"/>
            <w:vAlign w:val="center"/>
          </w:tcPr>
          <w:p w14:paraId="477449FD" w14:textId="77777777" w:rsidR="008546BD" w:rsidRPr="005840AD" w:rsidRDefault="008546BD" w:rsidP="00337305">
            <w:pPr>
              <w:pStyle w:val="FSTableText"/>
              <w:spacing w:before="20" w:after="20"/>
              <w:rPr>
                <w:szCs w:val="22"/>
              </w:rPr>
            </w:pPr>
            <w:r>
              <w:rPr>
                <w:szCs w:val="22"/>
              </w:rPr>
              <w:t>ELISA</w:t>
            </w:r>
          </w:p>
        </w:tc>
        <w:tc>
          <w:tcPr>
            <w:tcW w:w="7726" w:type="dxa"/>
            <w:vAlign w:val="center"/>
          </w:tcPr>
          <w:p w14:paraId="53475796" w14:textId="77777777" w:rsidR="008546BD" w:rsidRPr="005840AD" w:rsidRDefault="008546BD" w:rsidP="00337305">
            <w:pPr>
              <w:pStyle w:val="FSTableText"/>
              <w:spacing w:before="20" w:after="20"/>
              <w:rPr>
                <w:szCs w:val="22"/>
              </w:rPr>
            </w:pPr>
            <w:r>
              <w:rPr>
                <w:szCs w:val="22"/>
              </w:rPr>
              <w:t>e</w:t>
            </w:r>
            <w:r w:rsidRPr="00730D15">
              <w:rPr>
                <w:szCs w:val="22"/>
              </w:rPr>
              <w:t>nzyme-</w:t>
            </w:r>
            <w:r>
              <w:rPr>
                <w:szCs w:val="22"/>
              </w:rPr>
              <w:t>l</w:t>
            </w:r>
            <w:r w:rsidRPr="00730D15">
              <w:rPr>
                <w:szCs w:val="22"/>
              </w:rPr>
              <w:t>inked immunosorbent assay</w:t>
            </w:r>
          </w:p>
        </w:tc>
      </w:tr>
      <w:tr w:rsidR="00D24366" w14:paraId="660143FF" w14:textId="77777777" w:rsidTr="007C7D6B">
        <w:tc>
          <w:tcPr>
            <w:tcW w:w="1761" w:type="dxa"/>
            <w:shd w:val="clear" w:color="auto" w:fill="D9D9D9" w:themeFill="background1" w:themeFillShade="D9"/>
            <w:vAlign w:val="center"/>
          </w:tcPr>
          <w:p w14:paraId="1397D256" w14:textId="1C3D7A81" w:rsidR="00D24366" w:rsidRDefault="00D24366" w:rsidP="00337305">
            <w:pPr>
              <w:pStyle w:val="FSTableText"/>
              <w:spacing w:before="20" w:after="20"/>
              <w:rPr>
                <w:szCs w:val="22"/>
              </w:rPr>
            </w:pPr>
            <w:r>
              <w:rPr>
                <w:szCs w:val="22"/>
              </w:rPr>
              <w:t>EPA</w:t>
            </w:r>
          </w:p>
        </w:tc>
        <w:tc>
          <w:tcPr>
            <w:tcW w:w="7726" w:type="dxa"/>
            <w:shd w:val="clear" w:color="auto" w:fill="D9D9D9" w:themeFill="background1" w:themeFillShade="D9"/>
            <w:vAlign w:val="center"/>
          </w:tcPr>
          <w:p w14:paraId="426CE105" w14:textId="3AE40C41" w:rsidR="00D24366" w:rsidRDefault="00D24366" w:rsidP="00337305">
            <w:pPr>
              <w:pStyle w:val="FSTableText"/>
              <w:spacing w:before="20" w:after="20"/>
              <w:rPr>
                <w:szCs w:val="22"/>
              </w:rPr>
            </w:pPr>
            <w:r>
              <w:rPr>
                <w:szCs w:val="22"/>
              </w:rPr>
              <w:t>Environmental Protection Agency</w:t>
            </w:r>
          </w:p>
        </w:tc>
      </w:tr>
      <w:tr w:rsidR="008546BD" w14:paraId="62FCFB4C" w14:textId="77777777" w:rsidTr="00337305">
        <w:tc>
          <w:tcPr>
            <w:tcW w:w="1761" w:type="dxa"/>
            <w:vAlign w:val="center"/>
          </w:tcPr>
          <w:p w14:paraId="6FA5781E" w14:textId="77777777" w:rsidR="008546BD" w:rsidRDefault="008546BD" w:rsidP="00337305">
            <w:pPr>
              <w:pStyle w:val="FSTableText"/>
              <w:spacing w:before="20" w:after="20"/>
              <w:rPr>
                <w:szCs w:val="22"/>
              </w:rPr>
            </w:pPr>
            <w:r>
              <w:rPr>
                <w:szCs w:val="22"/>
              </w:rPr>
              <w:t>ILSI</w:t>
            </w:r>
          </w:p>
        </w:tc>
        <w:tc>
          <w:tcPr>
            <w:tcW w:w="7726" w:type="dxa"/>
            <w:vAlign w:val="center"/>
          </w:tcPr>
          <w:p w14:paraId="39FE11C8" w14:textId="77777777" w:rsidR="008546BD" w:rsidRPr="00BE7378" w:rsidRDefault="008546BD" w:rsidP="00337305">
            <w:pPr>
              <w:pStyle w:val="FSTableText"/>
              <w:spacing w:before="20" w:after="20"/>
              <w:rPr>
                <w:szCs w:val="22"/>
              </w:rPr>
            </w:pPr>
            <w:r w:rsidRPr="00205219">
              <w:rPr>
                <w:szCs w:val="22"/>
              </w:rPr>
              <w:t>International Life Sciences Institute</w:t>
            </w:r>
          </w:p>
        </w:tc>
      </w:tr>
      <w:tr w:rsidR="008546BD" w14:paraId="6A9022FF" w14:textId="77777777" w:rsidTr="007C7D6B">
        <w:tc>
          <w:tcPr>
            <w:tcW w:w="1761" w:type="dxa"/>
            <w:shd w:val="clear" w:color="auto" w:fill="D9D9D9" w:themeFill="background1" w:themeFillShade="D9"/>
            <w:vAlign w:val="center"/>
          </w:tcPr>
          <w:p w14:paraId="5FDDE1B7" w14:textId="77777777" w:rsidR="008546BD" w:rsidRPr="005840AD" w:rsidRDefault="008546BD" w:rsidP="00337305">
            <w:pPr>
              <w:pStyle w:val="FSTableText"/>
              <w:spacing w:before="20" w:after="20"/>
              <w:rPr>
                <w:szCs w:val="22"/>
                <w:lang w:val="en-AU"/>
              </w:rPr>
            </w:pPr>
            <w:r w:rsidRPr="005840AD">
              <w:rPr>
                <w:szCs w:val="22"/>
              </w:rPr>
              <w:t>FASTA</w:t>
            </w:r>
          </w:p>
        </w:tc>
        <w:tc>
          <w:tcPr>
            <w:tcW w:w="7726" w:type="dxa"/>
            <w:shd w:val="clear" w:color="auto" w:fill="D9D9D9" w:themeFill="background1" w:themeFillShade="D9"/>
            <w:vAlign w:val="center"/>
          </w:tcPr>
          <w:p w14:paraId="5E291ED1" w14:textId="77777777" w:rsidR="008546BD" w:rsidRPr="005840AD" w:rsidRDefault="008546BD" w:rsidP="00337305">
            <w:pPr>
              <w:pStyle w:val="FSTableText"/>
              <w:spacing w:before="20" w:after="20"/>
              <w:rPr>
                <w:szCs w:val="22"/>
                <w:lang w:val="en-AU"/>
              </w:rPr>
            </w:pPr>
            <w:r w:rsidRPr="005840AD">
              <w:rPr>
                <w:szCs w:val="22"/>
              </w:rPr>
              <w:t xml:space="preserve">Fast alignment search tool </w:t>
            </w:r>
            <w:r>
              <w:rPr>
                <w:szCs w:val="22"/>
              </w:rPr>
              <w:t>–</w:t>
            </w:r>
            <w:r w:rsidRPr="005840AD">
              <w:rPr>
                <w:szCs w:val="22"/>
              </w:rPr>
              <w:t xml:space="preserve"> all</w:t>
            </w:r>
          </w:p>
        </w:tc>
      </w:tr>
      <w:tr w:rsidR="008546BD" w14:paraId="21CCA7EA" w14:textId="77777777" w:rsidTr="00337305">
        <w:tc>
          <w:tcPr>
            <w:tcW w:w="1761" w:type="dxa"/>
            <w:vAlign w:val="center"/>
          </w:tcPr>
          <w:p w14:paraId="061A2A96" w14:textId="77777777" w:rsidR="008546BD" w:rsidRPr="005840AD" w:rsidRDefault="008546BD" w:rsidP="00337305">
            <w:pPr>
              <w:pStyle w:val="FSTableText"/>
              <w:spacing w:before="20" w:after="20"/>
              <w:rPr>
                <w:szCs w:val="22"/>
              </w:rPr>
            </w:pPr>
            <w:r w:rsidRPr="005840AD">
              <w:rPr>
                <w:szCs w:val="22"/>
              </w:rPr>
              <w:t>FAO</w:t>
            </w:r>
          </w:p>
        </w:tc>
        <w:tc>
          <w:tcPr>
            <w:tcW w:w="7726" w:type="dxa"/>
            <w:vAlign w:val="center"/>
          </w:tcPr>
          <w:p w14:paraId="34E073F1" w14:textId="77777777" w:rsidR="008546BD" w:rsidRPr="005840AD" w:rsidRDefault="008546BD" w:rsidP="00337305">
            <w:pPr>
              <w:pStyle w:val="FSTableText"/>
              <w:spacing w:before="20" w:after="20"/>
              <w:rPr>
                <w:szCs w:val="22"/>
              </w:rPr>
            </w:pPr>
            <w:r w:rsidRPr="005840AD">
              <w:rPr>
                <w:szCs w:val="22"/>
              </w:rPr>
              <w:t>Food and Agriculture Organization of the United Nations</w:t>
            </w:r>
          </w:p>
        </w:tc>
      </w:tr>
      <w:tr w:rsidR="008546BD" w14:paraId="32E916B9" w14:textId="77777777" w:rsidTr="007C7D6B">
        <w:tc>
          <w:tcPr>
            <w:tcW w:w="1761" w:type="dxa"/>
            <w:shd w:val="clear" w:color="auto" w:fill="D9D9D9" w:themeFill="background1" w:themeFillShade="D9"/>
            <w:vAlign w:val="center"/>
          </w:tcPr>
          <w:p w14:paraId="43527ACC" w14:textId="77777777" w:rsidR="008546BD" w:rsidRPr="005840AD" w:rsidRDefault="008546BD" w:rsidP="00337305">
            <w:pPr>
              <w:pStyle w:val="FSTableText"/>
              <w:spacing w:before="20" w:after="20"/>
              <w:rPr>
                <w:szCs w:val="22"/>
                <w:lang w:val="en-AU"/>
              </w:rPr>
            </w:pPr>
            <w:r w:rsidRPr="005840AD">
              <w:rPr>
                <w:szCs w:val="22"/>
              </w:rPr>
              <w:t>FSANZ</w:t>
            </w:r>
          </w:p>
        </w:tc>
        <w:tc>
          <w:tcPr>
            <w:tcW w:w="7726" w:type="dxa"/>
            <w:shd w:val="clear" w:color="auto" w:fill="D9D9D9" w:themeFill="background1" w:themeFillShade="D9"/>
            <w:vAlign w:val="center"/>
          </w:tcPr>
          <w:p w14:paraId="4E3DC631" w14:textId="77777777" w:rsidR="008546BD" w:rsidRPr="005840AD" w:rsidRDefault="008546BD" w:rsidP="00337305">
            <w:pPr>
              <w:pStyle w:val="FSTableText"/>
              <w:spacing w:before="20" w:after="20"/>
              <w:rPr>
                <w:szCs w:val="22"/>
                <w:lang w:val="en-AU"/>
              </w:rPr>
            </w:pPr>
            <w:r w:rsidRPr="005840AD">
              <w:rPr>
                <w:szCs w:val="22"/>
              </w:rPr>
              <w:t>Food Standards Australia New Zealand</w:t>
            </w:r>
          </w:p>
        </w:tc>
      </w:tr>
      <w:tr w:rsidR="008546BD" w14:paraId="3125B1AD" w14:textId="77777777" w:rsidTr="00337305">
        <w:tc>
          <w:tcPr>
            <w:tcW w:w="1761" w:type="dxa"/>
            <w:vAlign w:val="center"/>
          </w:tcPr>
          <w:p w14:paraId="331997A4" w14:textId="77777777" w:rsidR="008546BD" w:rsidRPr="005840AD" w:rsidRDefault="008546BD" w:rsidP="00337305">
            <w:pPr>
              <w:pStyle w:val="FSTableText"/>
              <w:spacing w:before="20" w:after="20"/>
              <w:rPr>
                <w:szCs w:val="22"/>
                <w:lang w:val="en-AU"/>
              </w:rPr>
            </w:pPr>
            <w:r w:rsidRPr="005840AD">
              <w:rPr>
                <w:szCs w:val="22"/>
              </w:rPr>
              <w:t>g</w:t>
            </w:r>
          </w:p>
        </w:tc>
        <w:tc>
          <w:tcPr>
            <w:tcW w:w="7726" w:type="dxa"/>
            <w:vAlign w:val="center"/>
          </w:tcPr>
          <w:p w14:paraId="77DB3FA6" w14:textId="77777777" w:rsidR="008546BD" w:rsidRPr="005840AD" w:rsidRDefault="008546BD" w:rsidP="00337305">
            <w:pPr>
              <w:pStyle w:val="FSTableText"/>
              <w:spacing w:before="20" w:after="20"/>
              <w:rPr>
                <w:szCs w:val="22"/>
                <w:lang w:val="en-AU"/>
              </w:rPr>
            </w:pPr>
            <w:r w:rsidRPr="005840AD">
              <w:rPr>
                <w:szCs w:val="22"/>
              </w:rPr>
              <w:t>gram</w:t>
            </w:r>
          </w:p>
        </w:tc>
      </w:tr>
      <w:tr w:rsidR="008546BD" w14:paraId="662176C5" w14:textId="77777777" w:rsidTr="007C7D6B">
        <w:tc>
          <w:tcPr>
            <w:tcW w:w="1761" w:type="dxa"/>
            <w:shd w:val="clear" w:color="auto" w:fill="D9D9D9" w:themeFill="background1" w:themeFillShade="D9"/>
            <w:vAlign w:val="center"/>
          </w:tcPr>
          <w:p w14:paraId="0E1E02C2" w14:textId="77777777" w:rsidR="008546BD" w:rsidRPr="005840AD" w:rsidRDefault="008546BD" w:rsidP="00337305">
            <w:pPr>
              <w:pStyle w:val="FSTableText"/>
              <w:spacing w:before="20" w:after="20"/>
              <w:rPr>
                <w:szCs w:val="22"/>
                <w:lang w:val="en-AU"/>
              </w:rPr>
            </w:pPr>
            <w:r w:rsidRPr="005840AD">
              <w:rPr>
                <w:szCs w:val="22"/>
              </w:rPr>
              <w:t>GM</w:t>
            </w:r>
          </w:p>
        </w:tc>
        <w:tc>
          <w:tcPr>
            <w:tcW w:w="7726" w:type="dxa"/>
            <w:shd w:val="clear" w:color="auto" w:fill="D9D9D9" w:themeFill="background1" w:themeFillShade="D9"/>
            <w:vAlign w:val="center"/>
          </w:tcPr>
          <w:p w14:paraId="305C75D7" w14:textId="77777777" w:rsidR="008546BD" w:rsidRPr="005840AD" w:rsidRDefault="008546BD" w:rsidP="00337305">
            <w:pPr>
              <w:pStyle w:val="FSTableText"/>
              <w:spacing w:before="20" w:after="20"/>
              <w:rPr>
                <w:szCs w:val="22"/>
                <w:lang w:val="en-AU"/>
              </w:rPr>
            </w:pPr>
            <w:r w:rsidRPr="005840AD">
              <w:rPr>
                <w:szCs w:val="22"/>
              </w:rPr>
              <w:t>genetically modified</w:t>
            </w:r>
          </w:p>
        </w:tc>
      </w:tr>
      <w:tr w:rsidR="0092310B" w14:paraId="0D07CFEF" w14:textId="77777777" w:rsidTr="00337305">
        <w:tc>
          <w:tcPr>
            <w:tcW w:w="1761" w:type="dxa"/>
            <w:vAlign w:val="center"/>
          </w:tcPr>
          <w:p w14:paraId="5C5A29E0" w14:textId="593C5A95" w:rsidR="0092310B" w:rsidRPr="005840AD" w:rsidRDefault="0092310B" w:rsidP="00337305">
            <w:pPr>
              <w:pStyle w:val="FSTableText"/>
              <w:spacing w:before="20" w:after="20"/>
              <w:rPr>
                <w:szCs w:val="22"/>
              </w:rPr>
            </w:pPr>
            <w:r>
              <w:rPr>
                <w:szCs w:val="22"/>
              </w:rPr>
              <w:t>HPPD</w:t>
            </w:r>
          </w:p>
        </w:tc>
        <w:tc>
          <w:tcPr>
            <w:tcW w:w="7726" w:type="dxa"/>
            <w:vAlign w:val="center"/>
          </w:tcPr>
          <w:p w14:paraId="0A056BDE" w14:textId="793A19EC" w:rsidR="0092310B" w:rsidRPr="005840AD" w:rsidRDefault="0092310B" w:rsidP="00337305">
            <w:pPr>
              <w:pStyle w:val="FSTableText"/>
              <w:spacing w:before="20" w:after="20"/>
              <w:rPr>
                <w:szCs w:val="22"/>
              </w:rPr>
            </w:pPr>
            <w:r w:rsidRPr="0092310B">
              <w:rPr>
                <w:szCs w:val="22"/>
              </w:rPr>
              <w:t>hydroxyphenyl pyruvate dioxygenase</w:t>
            </w:r>
          </w:p>
        </w:tc>
      </w:tr>
      <w:tr w:rsidR="008546BD" w14:paraId="55BEC7CD" w14:textId="77777777" w:rsidTr="007C7D6B">
        <w:tc>
          <w:tcPr>
            <w:tcW w:w="1761" w:type="dxa"/>
            <w:shd w:val="clear" w:color="auto" w:fill="D9D9D9" w:themeFill="background1" w:themeFillShade="D9"/>
            <w:vAlign w:val="center"/>
          </w:tcPr>
          <w:p w14:paraId="4EE05186" w14:textId="77777777" w:rsidR="008546BD" w:rsidRPr="00165B3D" w:rsidRDefault="008546BD" w:rsidP="00337305">
            <w:pPr>
              <w:pStyle w:val="FSTableText"/>
              <w:spacing w:before="20" w:after="20"/>
              <w:rPr>
                <w:szCs w:val="22"/>
              </w:rPr>
            </w:pPr>
            <w:r w:rsidRPr="005840AD">
              <w:rPr>
                <w:szCs w:val="22"/>
              </w:rPr>
              <w:t>kDa</w:t>
            </w:r>
          </w:p>
        </w:tc>
        <w:tc>
          <w:tcPr>
            <w:tcW w:w="7726" w:type="dxa"/>
            <w:shd w:val="clear" w:color="auto" w:fill="D9D9D9" w:themeFill="background1" w:themeFillShade="D9"/>
            <w:vAlign w:val="center"/>
          </w:tcPr>
          <w:p w14:paraId="0EA4723A" w14:textId="77777777" w:rsidR="008546BD" w:rsidRPr="005840AD" w:rsidRDefault="008546BD" w:rsidP="00337305">
            <w:pPr>
              <w:pStyle w:val="FSTableText"/>
              <w:spacing w:before="20" w:after="20"/>
              <w:rPr>
                <w:szCs w:val="22"/>
              </w:rPr>
            </w:pPr>
            <w:r w:rsidRPr="005840AD">
              <w:rPr>
                <w:szCs w:val="22"/>
              </w:rPr>
              <w:t>kilodalton</w:t>
            </w:r>
          </w:p>
        </w:tc>
      </w:tr>
      <w:tr w:rsidR="0092310B" w14:paraId="799690EF" w14:textId="77777777" w:rsidTr="00337305">
        <w:tc>
          <w:tcPr>
            <w:tcW w:w="1761" w:type="dxa"/>
            <w:vAlign w:val="center"/>
          </w:tcPr>
          <w:p w14:paraId="5B75505A" w14:textId="2A5C11CE" w:rsidR="0092310B" w:rsidRPr="005840AD" w:rsidRDefault="0092310B" w:rsidP="0092310B">
            <w:pPr>
              <w:pStyle w:val="FSTableText"/>
              <w:spacing w:before="20" w:after="20"/>
              <w:rPr>
                <w:szCs w:val="22"/>
              </w:rPr>
            </w:pPr>
            <w:r>
              <w:rPr>
                <w:szCs w:val="22"/>
              </w:rPr>
              <w:t>kg</w:t>
            </w:r>
          </w:p>
        </w:tc>
        <w:tc>
          <w:tcPr>
            <w:tcW w:w="7726" w:type="dxa"/>
            <w:vAlign w:val="center"/>
          </w:tcPr>
          <w:p w14:paraId="3E987393" w14:textId="05CBCBBC" w:rsidR="0092310B" w:rsidRPr="005840AD" w:rsidRDefault="0092310B" w:rsidP="00337305">
            <w:pPr>
              <w:pStyle w:val="FSTableText"/>
              <w:spacing w:before="20" w:after="20"/>
              <w:rPr>
                <w:szCs w:val="22"/>
              </w:rPr>
            </w:pPr>
            <w:r>
              <w:rPr>
                <w:szCs w:val="22"/>
              </w:rPr>
              <w:t>kilogram</w:t>
            </w:r>
          </w:p>
        </w:tc>
      </w:tr>
      <w:tr w:rsidR="008546BD" w14:paraId="2CB76605" w14:textId="77777777" w:rsidTr="007C7D6B">
        <w:tc>
          <w:tcPr>
            <w:tcW w:w="1761" w:type="dxa"/>
            <w:shd w:val="clear" w:color="auto" w:fill="D9D9D9" w:themeFill="background1" w:themeFillShade="D9"/>
            <w:vAlign w:val="center"/>
          </w:tcPr>
          <w:p w14:paraId="49298BC9" w14:textId="77777777" w:rsidR="008546BD" w:rsidRDefault="008546BD" w:rsidP="00337305">
            <w:pPr>
              <w:pStyle w:val="FSTableText"/>
              <w:spacing w:before="20" w:after="20"/>
              <w:rPr>
                <w:szCs w:val="22"/>
              </w:rPr>
            </w:pPr>
            <w:r>
              <w:rPr>
                <w:szCs w:val="22"/>
              </w:rPr>
              <w:t>LOD</w:t>
            </w:r>
          </w:p>
        </w:tc>
        <w:tc>
          <w:tcPr>
            <w:tcW w:w="7726" w:type="dxa"/>
            <w:shd w:val="clear" w:color="auto" w:fill="D9D9D9" w:themeFill="background1" w:themeFillShade="D9"/>
            <w:vAlign w:val="center"/>
          </w:tcPr>
          <w:p w14:paraId="59E47708" w14:textId="77777777" w:rsidR="008546BD" w:rsidRDefault="008546BD" w:rsidP="00337305">
            <w:pPr>
              <w:pStyle w:val="FSTableText"/>
              <w:spacing w:before="20" w:after="20"/>
              <w:rPr>
                <w:szCs w:val="22"/>
              </w:rPr>
            </w:pPr>
            <w:r>
              <w:rPr>
                <w:szCs w:val="22"/>
              </w:rPr>
              <w:t>limit of detection</w:t>
            </w:r>
          </w:p>
        </w:tc>
      </w:tr>
      <w:tr w:rsidR="008546BD" w14:paraId="30AA6C40" w14:textId="77777777" w:rsidTr="00337305">
        <w:tc>
          <w:tcPr>
            <w:tcW w:w="1761" w:type="dxa"/>
            <w:vAlign w:val="center"/>
          </w:tcPr>
          <w:p w14:paraId="12D187D0" w14:textId="77777777" w:rsidR="008546BD" w:rsidRPr="005840AD" w:rsidRDefault="008546BD" w:rsidP="00337305">
            <w:pPr>
              <w:pStyle w:val="FSTableText"/>
              <w:spacing w:before="20" w:after="20"/>
              <w:rPr>
                <w:szCs w:val="22"/>
              </w:rPr>
            </w:pPr>
            <w:r>
              <w:rPr>
                <w:szCs w:val="22"/>
              </w:rPr>
              <w:t>MALDI-TOF MS</w:t>
            </w:r>
          </w:p>
        </w:tc>
        <w:tc>
          <w:tcPr>
            <w:tcW w:w="7726" w:type="dxa"/>
            <w:vAlign w:val="center"/>
          </w:tcPr>
          <w:p w14:paraId="0B5400AC" w14:textId="77777777" w:rsidR="008546BD" w:rsidRPr="005840AD" w:rsidRDefault="008546BD" w:rsidP="00337305">
            <w:pPr>
              <w:pStyle w:val="FSTableText"/>
              <w:spacing w:before="20" w:after="20"/>
              <w:rPr>
                <w:szCs w:val="22"/>
              </w:rPr>
            </w:pPr>
            <w:r w:rsidRPr="00B47B1D">
              <w:rPr>
                <w:szCs w:val="22"/>
              </w:rPr>
              <w:t>matrix assisted laser desorption ionization-time of flight mass spectrometry</w:t>
            </w:r>
          </w:p>
        </w:tc>
      </w:tr>
      <w:tr w:rsidR="008546BD" w14:paraId="2AFE784D" w14:textId="77777777" w:rsidTr="007C7D6B">
        <w:tc>
          <w:tcPr>
            <w:tcW w:w="1761" w:type="dxa"/>
            <w:shd w:val="clear" w:color="auto" w:fill="D9D9D9" w:themeFill="background1" w:themeFillShade="D9"/>
            <w:vAlign w:val="center"/>
          </w:tcPr>
          <w:p w14:paraId="15079BB5" w14:textId="77777777" w:rsidR="008546BD" w:rsidRPr="005840AD" w:rsidRDefault="008546BD" w:rsidP="00337305">
            <w:pPr>
              <w:pStyle w:val="FSTableText"/>
              <w:spacing w:before="20" w:after="20"/>
              <w:rPr>
                <w:szCs w:val="22"/>
                <w:lang w:val="en-AU"/>
              </w:rPr>
            </w:pPr>
            <w:r w:rsidRPr="005840AD">
              <w:rPr>
                <w:szCs w:val="22"/>
              </w:rPr>
              <w:t>mg</w:t>
            </w:r>
          </w:p>
        </w:tc>
        <w:tc>
          <w:tcPr>
            <w:tcW w:w="7726" w:type="dxa"/>
            <w:shd w:val="clear" w:color="auto" w:fill="D9D9D9" w:themeFill="background1" w:themeFillShade="D9"/>
            <w:vAlign w:val="center"/>
          </w:tcPr>
          <w:p w14:paraId="5FED3B07" w14:textId="77777777" w:rsidR="008546BD" w:rsidRPr="005840AD" w:rsidRDefault="008546BD" w:rsidP="00337305">
            <w:pPr>
              <w:pStyle w:val="FSTableText"/>
              <w:spacing w:before="20" w:after="20"/>
              <w:rPr>
                <w:szCs w:val="22"/>
                <w:lang w:val="en-AU"/>
              </w:rPr>
            </w:pPr>
            <w:r w:rsidRPr="005840AD">
              <w:rPr>
                <w:szCs w:val="22"/>
              </w:rPr>
              <w:t>milligram</w:t>
            </w:r>
          </w:p>
        </w:tc>
      </w:tr>
      <w:tr w:rsidR="008546BD" w14:paraId="58897514" w14:textId="77777777" w:rsidTr="00337305">
        <w:tc>
          <w:tcPr>
            <w:tcW w:w="1761" w:type="dxa"/>
            <w:vAlign w:val="center"/>
          </w:tcPr>
          <w:p w14:paraId="7F59E601" w14:textId="77777777" w:rsidR="008546BD" w:rsidRPr="005840AD" w:rsidRDefault="008546BD" w:rsidP="00337305">
            <w:pPr>
              <w:pStyle w:val="FSTableText"/>
              <w:spacing w:before="20" w:after="20"/>
              <w:rPr>
                <w:szCs w:val="22"/>
              </w:rPr>
            </w:pPr>
            <w:r>
              <w:rPr>
                <w:szCs w:val="22"/>
              </w:rPr>
              <w:t>min</w:t>
            </w:r>
          </w:p>
        </w:tc>
        <w:tc>
          <w:tcPr>
            <w:tcW w:w="7726" w:type="dxa"/>
            <w:vAlign w:val="center"/>
          </w:tcPr>
          <w:p w14:paraId="36D9B1DE" w14:textId="77777777" w:rsidR="008546BD" w:rsidRPr="005840AD" w:rsidRDefault="008546BD" w:rsidP="00337305">
            <w:pPr>
              <w:pStyle w:val="FSTableText"/>
              <w:spacing w:before="20" w:after="20"/>
              <w:rPr>
                <w:szCs w:val="22"/>
              </w:rPr>
            </w:pPr>
            <w:r>
              <w:rPr>
                <w:szCs w:val="22"/>
              </w:rPr>
              <w:t>minute</w:t>
            </w:r>
          </w:p>
        </w:tc>
      </w:tr>
      <w:tr w:rsidR="0092310B" w14:paraId="02276CB9" w14:textId="77777777" w:rsidTr="007C7D6B">
        <w:tc>
          <w:tcPr>
            <w:tcW w:w="1761" w:type="dxa"/>
            <w:shd w:val="clear" w:color="auto" w:fill="D9D9D9" w:themeFill="background1" w:themeFillShade="D9"/>
            <w:vAlign w:val="center"/>
          </w:tcPr>
          <w:p w14:paraId="23A0FEEE" w14:textId="1B840603" w:rsidR="0092310B" w:rsidRDefault="0092310B" w:rsidP="00337305">
            <w:pPr>
              <w:pStyle w:val="FSTableText"/>
              <w:spacing w:before="20" w:after="20"/>
              <w:rPr>
                <w:szCs w:val="22"/>
              </w:rPr>
            </w:pPr>
            <w:r>
              <w:rPr>
                <w:szCs w:val="22"/>
              </w:rPr>
              <w:t>MT</w:t>
            </w:r>
          </w:p>
        </w:tc>
        <w:tc>
          <w:tcPr>
            <w:tcW w:w="7726" w:type="dxa"/>
            <w:shd w:val="clear" w:color="auto" w:fill="D9D9D9" w:themeFill="background1" w:themeFillShade="D9"/>
            <w:vAlign w:val="center"/>
          </w:tcPr>
          <w:p w14:paraId="7260AF06" w14:textId="6C3FAAF9" w:rsidR="0092310B" w:rsidRDefault="0092310B" w:rsidP="00337305">
            <w:pPr>
              <w:pStyle w:val="FSTableText"/>
              <w:spacing w:before="20" w:after="20"/>
              <w:rPr>
                <w:szCs w:val="22"/>
              </w:rPr>
            </w:pPr>
            <w:r>
              <w:rPr>
                <w:szCs w:val="22"/>
              </w:rPr>
              <w:t>million tonnes</w:t>
            </w:r>
          </w:p>
        </w:tc>
      </w:tr>
      <w:tr w:rsidR="008546BD" w14:paraId="76E52B38" w14:textId="77777777" w:rsidTr="00337305">
        <w:tc>
          <w:tcPr>
            <w:tcW w:w="1761" w:type="dxa"/>
            <w:vAlign w:val="center"/>
          </w:tcPr>
          <w:p w14:paraId="695009FA" w14:textId="77777777" w:rsidR="008546BD" w:rsidRPr="005840AD" w:rsidRDefault="008546BD" w:rsidP="00337305">
            <w:pPr>
              <w:pStyle w:val="FSTableText"/>
              <w:spacing w:before="20" w:after="20"/>
              <w:rPr>
                <w:szCs w:val="22"/>
                <w:lang w:val="en-AU"/>
              </w:rPr>
            </w:pPr>
            <w:r w:rsidRPr="005840AD">
              <w:rPr>
                <w:szCs w:val="22"/>
              </w:rPr>
              <w:t>NCBI</w:t>
            </w:r>
          </w:p>
        </w:tc>
        <w:tc>
          <w:tcPr>
            <w:tcW w:w="7726" w:type="dxa"/>
            <w:vAlign w:val="center"/>
          </w:tcPr>
          <w:p w14:paraId="3E9BB7C1" w14:textId="77777777" w:rsidR="008546BD" w:rsidRPr="005840AD" w:rsidRDefault="008546BD" w:rsidP="00337305">
            <w:pPr>
              <w:pStyle w:val="FSTableText"/>
              <w:spacing w:before="20" w:after="20"/>
              <w:rPr>
                <w:szCs w:val="22"/>
                <w:lang w:val="en-AU"/>
              </w:rPr>
            </w:pPr>
            <w:r w:rsidRPr="005840AD">
              <w:rPr>
                <w:szCs w:val="22"/>
              </w:rPr>
              <w:t>National Centre for Biotechnology Information</w:t>
            </w:r>
          </w:p>
        </w:tc>
      </w:tr>
      <w:tr w:rsidR="008546BD" w14:paraId="4E3F00EB" w14:textId="77777777" w:rsidTr="007C7D6B">
        <w:tc>
          <w:tcPr>
            <w:tcW w:w="1761" w:type="dxa"/>
            <w:shd w:val="clear" w:color="auto" w:fill="D9D9D9" w:themeFill="background1" w:themeFillShade="D9"/>
            <w:vAlign w:val="center"/>
          </w:tcPr>
          <w:p w14:paraId="64EC88E4" w14:textId="77777777" w:rsidR="008546BD" w:rsidRDefault="008546BD" w:rsidP="00337305">
            <w:pPr>
              <w:pStyle w:val="FSTableText"/>
              <w:spacing w:before="20" w:after="20"/>
              <w:rPr>
                <w:szCs w:val="22"/>
              </w:rPr>
            </w:pPr>
            <w:r>
              <w:rPr>
                <w:szCs w:val="22"/>
              </w:rPr>
              <w:t>ng</w:t>
            </w:r>
          </w:p>
        </w:tc>
        <w:tc>
          <w:tcPr>
            <w:tcW w:w="7726" w:type="dxa"/>
            <w:shd w:val="clear" w:color="auto" w:fill="D9D9D9" w:themeFill="background1" w:themeFillShade="D9"/>
            <w:vAlign w:val="center"/>
          </w:tcPr>
          <w:p w14:paraId="614C7C07" w14:textId="77777777" w:rsidR="008546BD" w:rsidRPr="009B76E3" w:rsidRDefault="008546BD" w:rsidP="00337305">
            <w:pPr>
              <w:pStyle w:val="FSTableText"/>
              <w:spacing w:before="20" w:after="20"/>
              <w:rPr>
                <w:szCs w:val="22"/>
              </w:rPr>
            </w:pPr>
            <w:r>
              <w:rPr>
                <w:szCs w:val="22"/>
              </w:rPr>
              <w:t>nanogram</w:t>
            </w:r>
          </w:p>
        </w:tc>
      </w:tr>
      <w:tr w:rsidR="008546BD" w14:paraId="3F8BF1C8" w14:textId="77777777" w:rsidTr="00337305">
        <w:tc>
          <w:tcPr>
            <w:tcW w:w="1761" w:type="dxa"/>
            <w:vAlign w:val="center"/>
          </w:tcPr>
          <w:p w14:paraId="0860D44B" w14:textId="77777777" w:rsidR="008546BD" w:rsidRPr="005840AD" w:rsidRDefault="008546BD" w:rsidP="00337305">
            <w:pPr>
              <w:pStyle w:val="FSTableText"/>
              <w:spacing w:before="20" w:after="20"/>
              <w:rPr>
                <w:szCs w:val="22"/>
                <w:lang w:val="en-AU"/>
              </w:rPr>
            </w:pPr>
            <w:r w:rsidRPr="005840AD">
              <w:rPr>
                <w:szCs w:val="22"/>
              </w:rPr>
              <w:t>OECD</w:t>
            </w:r>
          </w:p>
        </w:tc>
        <w:tc>
          <w:tcPr>
            <w:tcW w:w="7726" w:type="dxa"/>
            <w:vAlign w:val="center"/>
          </w:tcPr>
          <w:p w14:paraId="05BD0596" w14:textId="77777777" w:rsidR="008546BD" w:rsidRPr="005840AD" w:rsidRDefault="008546BD" w:rsidP="00337305">
            <w:pPr>
              <w:pStyle w:val="FSTableText"/>
              <w:spacing w:before="20" w:after="20"/>
              <w:rPr>
                <w:szCs w:val="22"/>
                <w:lang w:val="en-AU"/>
              </w:rPr>
            </w:pPr>
            <w:r w:rsidRPr="005840AD">
              <w:rPr>
                <w:szCs w:val="22"/>
              </w:rPr>
              <w:t>Organisation for Economic Co-operation and Development</w:t>
            </w:r>
          </w:p>
        </w:tc>
      </w:tr>
      <w:tr w:rsidR="008546BD" w14:paraId="750BD2D4" w14:textId="77777777" w:rsidTr="007C7D6B">
        <w:tc>
          <w:tcPr>
            <w:tcW w:w="1761" w:type="dxa"/>
            <w:shd w:val="clear" w:color="auto" w:fill="D9D9D9" w:themeFill="background1" w:themeFillShade="D9"/>
            <w:vAlign w:val="center"/>
          </w:tcPr>
          <w:p w14:paraId="76C75886" w14:textId="77777777" w:rsidR="008546BD" w:rsidRPr="005840AD" w:rsidRDefault="008546BD" w:rsidP="00337305">
            <w:pPr>
              <w:pStyle w:val="FSTableText"/>
              <w:spacing w:before="20" w:after="20"/>
              <w:rPr>
                <w:szCs w:val="22"/>
                <w:lang w:val="en-AU"/>
              </w:rPr>
            </w:pPr>
            <w:r>
              <w:rPr>
                <w:szCs w:val="22"/>
              </w:rPr>
              <w:t>OGTR</w:t>
            </w:r>
          </w:p>
        </w:tc>
        <w:tc>
          <w:tcPr>
            <w:tcW w:w="7726" w:type="dxa"/>
            <w:shd w:val="clear" w:color="auto" w:fill="D9D9D9" w:themeFill="background1" w:themeFillShade="D9"/>
            <w:vAlign w:val="center"/>
          </w:tcPr>
          <w:p w14:paraId="589C08D6" w14:textId="77777777" w:rsidR="008546BD" w:rsidRPr="005840AD" w:rsidRDefault="008546BD" w:rsidP="00337305">
            <w:pPr>
              <w:pStyle w:val="FSTableText"/>
              <w:spacing w:before="20" w:after="20"/>
              <w:rPr>
                <w:szCs w:val="22"/>
                <w:lang w:val="en-AU"/>
              </w:rPr>
            </w:pPr>
            <w:r>
              <w:rPr>
                <w:szCs w:val="22"/>
                <w:lang w:val="en-AU"/>
              </w:rPr>
              <w:t>Office of the Gene Technology Regulator</w:t>
            </w:r>
          </w:p>
        </w:tc>
      </w:tr>
      <w:tr w:rsidR="008546BD" w14:paraId="1B88A37C" w14:textId="77777777" w:rsidTr="00337305">
        <w:tc>
          <w:tcPr>
            <w:tcW w:w="1761" w:type="dxa"/>
            <w:vAlign w:val="center"/>
          </w:tcPr>
          <w:p w14:paraId="61A40E18" w14:textId="77777777" w:rsidR="008546BD" w:rsidRPr="005840AD" w:rsidRDefault="008546BD" w:rsidP="00337305">
            <w:pPr>
              <w:pStyle w:val="FSTableText"/>
              <w:spacing w:before="20" w:after="20"/>
              <w:rPr>
                <w:szCs w:val="22"/>
              </w:rPr>
            </w:pPr>
            <w:r w:rsidRPr="005840AD">
              <w:rPr>
                <w:szCs w:val="22"/>
              </w:rPr>
              <w:t>ORF</w:t>
            </w:r>
          </w:p>
        </w:tc>
        <w:tc>
          <w:tcPr>
            <w:tcW w:w="7726" w:type="dxa"/>
            <w:vAlign w:val="center"/>
          </w:tcPr>
          <w:p w14:paraId="6DBD8AF4" w14:textId="77777777" w:rsidR="008546BD" w:rsidRPr="005840AD" w:rsidRDefault="008546BD" w:rsidP="00337305">
            <w:pPr>
              <w:pStyle w:val="FSTableText"/>
              <w:spacing w:before="20" w:after="20"/>
              <w:rPr>
                <w:szCs w:val="22"/>
              </w:rPr>
            </w:pPr>
            <w:r w:rsidRPr="005840AD">
              <w:rPr>
                <w:szCs w:val="22"/>
              </w:rPr>
              <w:t>open reading frame</w:t>
            </w:r>
          </w:p>
        </w:tc>
      </w:tr>
      <w:tr w:rsidR="008546BD" w14:paraId="6C0A1408" w14:textId="77777777" w:rsidTr="007C7D6B">
        <w:tc>
          <w:tcPr>
            <w:tcW w:w="1761" w:type="dxa"/>
            <w:shd w:val="clear" w:color="auto" w:fill="D9D9D9" w:themeFill="background1" w:themeFillShade="D9"/>
            <w:vAlign w:val="center"/>
          </w:tcPr>
          <w:p w14:paraId="63F494CD" w14:textId="77777777" w:rsidR="008546BD" w:rsidRPr="005840AD" w:rsidRDefault="008546BD" w:rsidP="00337305">
            <w:pPr>
              <w:pStyle w:val="FSTableText"/>
              <w:spacing w:before="20" w:after="20"/>
              <w:rPr>
                <w:szCs w:val="22"/>
              </w:rPr>
            </w:pPr>
            <w:r>
              <w:rPr>
                <w:szCs w:val="22"/>
              </w:rPr>
              <w:t>PAGE</w:t>
            </w:r>
          </w:p>
        </w:tc>
        <w:tc>
          <w:tcPr>
            <w:tcW w:w="7726" w:type="dxa"/>
            <w:shd w:val="clear" w:color="auto" w:fill="D9D9D9" w:themeFill="background1" w:themeFillShade="D9"/>
            <w:vAlign w:val="center"/>
          </w:tcPr>
          <w:p w14:paraId="38FD64A0" w14:textId="77777777" w:rsidR="008546BD" w:rsidRPr="005840AD" w:rsidRDefault="008546BD" w:rsidP="00337305">
            <w:pPr>
              <w:pStyle w:val="FSTableText"/>
              <w:spacing w:before="20" w:after="20"/>
              <w:rPr>
                <w:szCs w:val="22"/>
              </w:rPr>
            </w:pPr>
            <w:r>
              <w:rPr>
                <w:szCs w:val="22"/>
              </w:rPr>
              <w:t>polyacrylamide gel electrophoresis</w:t>
            </w:r>
          </w:p>
        </w:tc>
      </w:tr>
      <w:tr w:rsidR="008546BD" w14:paraId="78E2A57C" w14:textId="77777777" w:rsidTr="00337305">
        <w:tc>
          <w:tcPr>
            <w:tcW w:w="1761" w:type="dxa"/>
            <w:vAlign w:val="center"/>
          </w:tcPr>
          <w:p w14:paraId="59AF62CD" w14:textId="77777777" w:rsidR="008546BD" w:rsidRPr="005840AD" w:rsidRDefault="008546BD" w:rsidP="00337305">
            <w:pPr>
              <w:pStyle w:val="FSTableText"/>
              <w:spacing w:before="20" w:after="20"/>
              <w:rPr>
                <w:szCs w:val="22"/>
              </w:rPr>
            </w:pPr>
            <w:r w:rsidRPr="005840AD">
              <w:rPr>
                <w:iCs/>
                <w:szCs w:val="22"/>
              </w:rPr>
              <w:t>PCR</w:t>
            </w:r>
          </w:p>
        </w:tc>
        <w:tc>
          <w:tcPr>
            <w:tcW w:w="7726" w:type="dxa"/>
            <w:vAlign w:val="center"/>
          </w:tcPr>
          <w:p w14:paraId="386E41E4" w14:textId="77777777" w:rsidR="008546BD" w:rsidRPr="005840AD" w:rsidRDefault="008546BD" w:rsidP="00337305">
            <w:pPr>
              <w:pStyle w:val="FSTableText"/>
              <w:spacing w:before="20" w:after="20"/>
              <w:rPr>
                <w:szCs w:val="22"/>
              </w:rPr>
            </w:pPr>
            <w:r w:rsidRPr="005840AD">
              <w:rPr>
                <w:iCs/>
                <w:szCs w:val="22"/>
              </w:rPr>
              <w:t>polymerase chain reaction</w:t>
            </w:r>
          </w:p>
        </w:tc>
      </w:tr>
      <w:tr w:rsidR="008546BD" w:rsidRPr="00415ABA" w14:paraId="6AE9E130" w14:textId="77777777" w:rsidTr="007C7D6B">
        <w:tc>
          <w:tcPr>
            <w:tcW w:w="1761" w:type="dxa"/>
            <w:shd w:val="clear" w:color="auto" w:fill="D9D9D9" w:themeFill="background1" w:themeFillShade="D9"/>
            <w:vAlign w:val="center"/>
          </w:tcPr>
          <w:p w14:paraId="53976A03" w14:textId="77777777" w:rsidR="008546BD" w:rsidRDefault="008546BD" w:rsidP="00337305">
            <w:pPr>
              <w:pStyle w:val="FSTableText"/>
              <w:spacing w:before="20" w:after="20"/>
              <w:rPr>
                <w:szCs w:val="22"/>
              </w:rPr>
            </w:pPr>
            <w:r w:rsidRPr="005840AD">
              <w:rPr>
                <w:szCs w:val="22"/>
              </w:rPr>
              <w:t>SAS</w:t>
            </w:r>
          </w:p>
        </w:tc>
        <w:tc>
          <w:tcPr>
            <w:tcW w:w="7726" w:type="dxa"/>
            <w:shd w:val="clear" w:color="auto" w:fill="D9D9D9" w:themeFill="background1" w:themeFillShade="D9"/>
            <w:vAlign w:val="center"/>
          </w:tcPr>
          <w:p w14:paraId="72CAD8BE" w14:textId="77777777" w:rsidR="008546BD" w:rsidRDefault="008546BD" w:rsidP="00337305">
            <w:pPr>
              <w:pStyle w:val="FSTableText"/>
              <w:spacing w:before="20" w:after="20"/>
              <w:rPr>
                <w:szCs w:val="22"/>
              </w:rPr>
            </w:pPr>
            <w:r w:rsidRPr="005840AD">
              <w:rPr>
                <w:szCs w:val="22"/>
              </w:rPr>
              <w:t>Statistical Analysis Software</w:t>
            </w:r>
          </w:p>
        </w:tc>
      </w:tr>
      <w:tr w:rsidR="008546BD" w:rsidRPr="00415ABA" w14:paraId="6880801A" w14:textId="77777777" w:rsidTr="00337305">
        <w:tc>
          <w:tcPr>
            <w:tcW w:w="1761" w:type="dxa"/>
            <w:vAlign w:val="center"/>
          </w:tcPr>
          <w:p w14:paraId="2970EB7F" w14:textId="77777777" w:rsidR="008546BD" w:rsidRPr="005840AD" w:rsidRDefault="008546BD" w:rsidP="00337305">
            <w:pPr>
              <w:pStyle w:val="FSTableText"/>
              <w:spacing w:before="20" w:after="20"/>
              <w:rPr>
                <w:iCs/>
                <w:szCs w:val="22"/>
              </w:rPr>
            </w:pPr>
            <w:r>
              <w:rPr>
                <w:iCs/>
                <w:szCs w:val="22"/>
              </w:rPr>
              <w:t>SDS</w:t>
            </w:r>
          </w:p>
        </w:tc>
        <w:tc>
          <w:tcPr>
            <w:tcW w:w="7726" w:type="dxa"/>
            <w:vAlign w:val="center"/>
          </w:tcPr>
          <w:p w14:paraId="6C0720C1" w14:textId="77777777" w:rsidR="008546BD" w:rsidRPr="005840AD" w:rsidRDefault="008546BD" w:rsidP="00337305">
            <w:pPr>
              <w:pStyle w:val="FSTableText"/>
              <w:spacing w:before="20" w:after="20"/>
              <w:rPr>
                <w:iCs/>
                <w:szCs w:val="22"/>
              </w:rPr>
            </w:pPr>
            <w:r w:rsidRPr="00E46B8D">
              <w:rPr>
                <w:iCs/>
                <w:szCs w:val="22"/>
              </w:rPr>
              <w:t>sodium dodecyl sulfate</w:t>
            </w:r>
          </w:p>
        </w:tc>
      </w:tr>
      <w:tr w:rsidR="008546BD" w:rsidRPr="00415ABA" w14:paraId="277B3022" w14:textId="77777777" w:rsidTr="007C7D6B">
        <w:tc>
          <w:tcPr>
            <w:tcW w:w="1761" w:type="dxa"/>
            <w:shd w:val="clear" w:color="auto" w:fill="D9D9D9" w:themeFill="background1" w:themeFillShade="D9"/>
            <w:vAlign w:val="center"/>
          </w:tcPr>
          <w:p w14:paraId="24BF462E" w14:textId="77777777" w:rsidR="008546BD" w:rsidRPr="005840AD" w:rsidRDefault="008546BD" w:rsidP="00337305">
            <w:pPr>
              <w:pStyle w:val="FSTableText"/>
              <w:spacing w:before="20" w:after="20"/>
              <w:rPr>
                <w:szCs w:val="22"/>
              </w:rPr>
            </w:pPr>
            <w:r>
              <w:rPr>
                <w:szCs w:val="22"/>
              </w:rPr>
              <w:t>SGF</w:t>
            </w:r>
          </w:p>
        </w:tc>
        <w:tc>
          <w:tcPr>
            <w:tcW w:w="7726" w:type="dxa"/>
            <w:shd w:val="clear" w:color="auto" w:fill="D9D9D9" w:themeFill="background1" w:themeFillShade="D9"/>
            <w:vAlign w:val="center"/>
          </w:tcPr>
          <w:p w14:paraId="58F4194B" w14:textId="77777777" w:rsidR="008546BD" w:rsidRPr="005840AD" w:rsidRDefault="008546BD" w:rsidP="00337305">
            <w:pPr>
              <w:pStyle w:val="FSTableText"/>
              <w:spacing w:before="20" w:after="20"/>
              <w:rPr>
                <w:szCs w:val="22"/>
              </w:rPr>
            </w:pPr>
            <w:r>
              <w:rPr>
                <w:szCs w:val="22"/>
              </w:rPr>
              <w:t>simulated gastric fluid</w:t>
            </w:r>
          </w:p>
        </w:tc>
      </w:tr>
      <w:tr w:rsidR="008546BD" w:rsidRPr="00415ABA" w14:paraId="664132FA" w14:textId="77777777" w:rsidTr="00337305">
        <w:tc>
          <w:tcPr>
            <w:tcW w:w="1761" w:type="dxa"/>
            <w:vAlign w:val="center"/>
          </w:tcPr>
          <w:p w14:paraId="3BF252AE" w14:textId="77777777" w:rsidR="008546BD" w:rsidRDefault="008546BD" w:rsidP="00337305">
            <w:pPr>
              <w:pStyle w:val="FSTableText"/>
              <w:spacing w:before="20" w:after="20"/>
              <w:rPr>
                <w:szCs w:val="22"/>
              </w:rPr>
            </w:pPr>
            <w:r>
              <w:rPr>
                <w:szCs w:val="22"/>
              </w:rPr>
              <w:t>SIF</w:t>
            </w:r>
          </w:p>
        </w:tc>
        <w:tc>
          <w:tcPr>
            <w:tcW w:w="7726" w:type="dxa"/>
            <w:vAlign w:val="center"/>
          </w:tcPr>
          <w:p w14:paraId="5A5ABE3E" w14:textId="77777777" w:rsidR="008546BD" w:rsidRPr="005840AD" w:rsidRDefault="008546BD" w:rsidP="00337305">
            <w:pPr>
              <w:pStyle w:val="FSTableText"/>
              <w:spacing w:before="20" w:after="20"/>
              <w:rPr>
                <w:szCs w:val="22"/>
              </w:rPr>
            </w:pPr>
            <w:r>
              <w:rPr>
                <w:szCs w:val="22"/>
              </w:rPr>
              <w:t>simulated intestinal fluid</w:t>
            </w:r>
          </w:p>
        </w:tc>
      </w:tr>
      <w:tr w:rsidR="0092310B" w:rsidRPr="00415ABA" w14:paraId="1CF4CA36" w14:textId="77777777" w:rsidTr="007C7D6B">
        <w:tc>
          <w:tcPr>
            <w:tcW w:w="1761" w:type="dxa"/>
            <w:shd w:val="clear" w:color="auto" w:fill="D9D9D9" w:themeFill="background1" w:themeFillShade="D9"/>
            <w:vAlign w:val="center"/>
          </w:tcPr>
          <w:p w14:paraId="40F6021D" w14:textId="05D7B64D" w:rsidR="0092310B" w:rsidRDefault="0092310B" w:rsidP="00337305">
            <w:pPr>
              <w:pStyle w:val="FSTableText"/>
              <w:spacing w:before="20" w:after="20"/>
              <w:rPr>
                <w:szCs w:val="22"/>
              </w:rPr>
            </w:pPr>
            <w:r>
              <w:rPr>
                <w:szCs w:val="22"/>
              </w:rPr>
              <w:t>T</w:t>
            </w:r>
          </w:p>
        </w:tc>
        <w:tc>
          <w:tcPr>
            <w:tcW w:w="7726" w:type="dxa"/>
            <w:shd w:val="clear" w:color="auto" w:fill="D9D9D9" w:themeFill="background1" w:themeFillShade="D9"/>
            <w:vAlign w:val="center"/>
          </w:tcPr>
          <w:p w14:paraId="38BBF00C" w14:textId="0DEE8E23" w:rsidR="0092310B" w:rsidRDefault="0092310B" w:rsidP="00337305">
            <w:pPr>
              <w:pStyle w:val="FSTableText"/>
              <w:spacing w:before="20" w:after="20"/>
              <w:rPr>
                <w:szCs w:val="22"/>
              </w:rPr>
            </w:pPr>
            <w:r>
              <w:rPr>
                <w:szCs w:val="22"/>
              </w:rPr>
              <w:t>tonne</w:t>
            </w:r>
          </w:p>
        </w:tc>
      </w:tr>
      <w:tr w:rsidR="008546BD" w:rsidRPr="00415ABA" w14:paraId="007ABEBD" w14:textId="77777777" w:rsidTr="00337305">
        <w:tc>
          <w:tcPr>
            <w:tcW w:w="1761" w:type="dxa"/>
            <w:vAlign w:val="center"/>
          </w:tcPr>
          <w:p w14:paraId="6E4D9495" w14:textId="77777777" w:rsidR="008546BD" w:rsidRPr="005840AD" w:rsidRDefault="008546BD" w:rsidP="00337305">
            <w:pPr>
              <w:pStyle w:val="FSTableText"/>
              <w:spacing w:before="20" w:after="20"/>
              <w:rPr>
                <w:szCs w:val="22"/>
              </w:rPr>
            </w:pPr>
            <w:r w:rsidRPr="005840AD">
              <w:rPr>
                <w:szCs w:val="22"/>
              </w:rPr>
              <w:t>T-DNA</w:t>
            </w:r>
          </w:p>
        </w:tc>
        <w:tc>
          <w:tcPr>
            <w:tcW w:w="7726" w:type="dxa"/>
            <w:vAlign w:val="center"/>
          </w:tcPr>
          <w:p w14:paraId="314A0A52" w14:textId="77777777" w:rsidR="008546BD" w:rsidRPr="005840AD" w:rsidRDefault="008546BD" w:rsidP="00337305">
            <w:pPr>
              <w:pStyle w:val="FSTableText"/>
              <w:spacing w:before="20" w:after="20"/>
              <w:rPr>
                <w:szCs w:val="22"/>
              </w:rPr>
            </w:pPr>
            <w:r w:rsidRPr="005840AD">
              <w:rPr>
                <w:szCs w:val="22"/>
              </w:rPr>
              <w:t>transfer DNA</w:t>
            </w:r>
          </w:p>
        </w:tc>
      </w:tr>
      <w:tr w:rsidR="008546BD" w:rsidRPr="00415ABA" w14:paraId="033F18B5" w14:textId="77777777" w:rsidTr="007C7D6B">
        <w:tc>
          <w:tcPr>
            <w:tcW w:w="1761" w:type="dxa"/>
            <w:shd w:val="clear" w:color="auto" w:fill="D9D9D9" w:themeFill="background1" w:themeFillShade="D9"/>
            <w:vAlign w:val="center"/>
          </w:tcPr>
          <w:p w14:paraId="7FF40F0E" w14:textId="77777777" w:rsidR="008546BD" w:rsidRPr="005840AD" w:rsidRDefault="008546BD" w:rsidP="00337305">
            <w:pPr>
              <w:pStyle w:val="FSTableText"/>
              <w:spacing w:before="20" w:after="20"/>
              <w:rPr>
                <w:szCs w:val="22"/>
              </w:rPr>
            </w:pPr>
            <w:r>
              <w:rPr>
                <w:szCs w:val="22"/>
              </w:rPr>
              <w:t>U</w:t>
            </w:r>
          </w:p>
        </w:tc>
        <w:tc>
          <w:tcPr>
            <w:tcW w:w="7726" w:type="dxa"/>
            <w:shd w:val="clear" w:color="auto" w:fill="D9D9D9" w:themeFill="background1" w:themeFillShade="D9"/>
            <w:vAlign w:val="center"/>
          </w:tcPr>
          <w:p w14:paraId="50F28758" w14:textId="77777777" w:rsidR="008546BD" w:rsidRPr="005840AD" w:rsidRDefault="008546BD" w:rsidP="00337305">
            <w:pPr>
              <w:pStyle w:val="FSTableText"/>
              <w:spacing w:before="20" w:after="20"/>
              <w:rPr>
                <w:szCs w:val="22"/>
              </w:rPr>
            </w:pPr>
            <w:r>
              <w:rPr>
                <w:szCs w:val="22"/>
              </w:rPr>
              <w:t>units</w:t>
            </w:r>
          </w:p>
        </w:tc>
      </w:tr>
      <w:tr w:rsidR="008546BD" w:rsidRPr="00415ABA" w14:paraId="34C7BD31" w14:textId="77777777" w:rsidTr="00337305">
        <w:tc>
          <w:tcPr>
            <w:tcW w:w="1761" w:type="dxa"/>
            <w:vAlign w:val="center"/>
          </w:tcPr>
          <w:p w14:paraId="26A39426" w14:textId="77777777" w:rsidR="008546BD" w:rsidRPr="005840AD" w:rsidRDefault="008546BD" w:rsidP="00337305">
            <w:pPr>
              <w:pStyle w:val="FSTableText"/>
              <w:spacing w:before="20" w:after="20"/>
              <w:rPr>
                <w:szCs w:val="22"/>
              </w:rPr>
            </w:pPr>
            <w:r>
              <w:rPr>
                <w:szCs w:val="22"/>
              </w:rPr>
              <w:t>μg</w:t>
            </w:r>
          </w:p>
        </w:tc>
        <w:tc>
          <w:tcPr>
            <w:tcW w:w="7726" w:type="dxa"/>
            <w:vAlign w:val="center"/>
          </w:tcPr>
          <w:p w14:paraId="6C7738B7" w14:textId="77777777" w:rsidR="008546BD" w:rsidRPr="005840AD" w:rsidRDefault="008546BD" w:rsidP="00337305">
            <w:pPr>
              <w:pStyle w:val="FSTableText"/>
              <w:spacing w:before="20" w:after="20"/>
              <w:rPr>
                <w:szCs w:val="22"/>
              </w:rPr>
            </w:pPr>
            <w:r>
              <w:rPr>
                <w:szCs w:val="22"/>
              </w:rPr>
              <w:t>microgram</w:t>
            </w:r>
          </w:p>
        </w:tc>
      </w:tr>
      <w:tr w:rsidR="008546BD" w:rsidRPr="00415ABA" w14:paraId="6470E0C8" w14:textId="77777777" w:rsidTr="007C7D6B">
        <w:tc>
          <w:tcPr>
            <w:tcW w:w="1761" w:type="dxa"/>
            <w:shd w:val="clear" w:color="auto" w:fill="D9D9D9" w:themeFill="background1" w:themeFillShade="D9"/>
            <w:vAlign w:val="center"/>
          </w:tcPr>
          <w:p w14:paraId="6DB1CC40" w14:textId="04F6D810" w:rsidR="008546BD" w:rsidRPr="005840AD" w:rsidRDefault="008546BD" w:rsidP="00337305">
            <w:pPr>
              <w:pStyle w:val="FSTableText"/>
              <w:spacing w:before="20" w:after="20"/>
              <w:rPr>
                <w:szCs w:val="22"/>
              </w:rPr>
            </w:pPr>
            <w:r w:rsidRPr="005840AD">
              <w:rPr>
                <w:szCs w:val="22"/>
              </w:rPr>
              <w:t>US</w:t>
            </w:r>
          </w:p>
        </w:tc>
        <w:tc>
          <w:tcPr>
            <w:tcW w:w="7726" w:type="dxa"/>
            <w:shd w:val="clear" w:color="auto" w:fill="D9D9D9" w:themeFill="background1" w:themeFillShade="D9"/>
            <w:vAlign w:val="center"/>
          </w:tcPr>
          <w:p w14:paraId="58F5B014" w14:textId="4F6940B3" w:rsidR="008546BD" w:rsidRPr="005840AD" w:rsidRDefault="00D24366" w:rsidP="00D24366">
            <w:pPr>
              <w:pStyle w:val="FSTableText"/>
              <w:spacing w:before="20" w:after="20"/>
              <w:rPr>
                <w:szCs w:val="22"/>
              </w:rPr>
            </w:pPr>
            <w:r>
              <w:rPr>
                <w:szCs w:val="22"/>
              </w:rPr>
              <w:t>United States</w:t>
            </w:r>
          </w:p>
        </w:tc>
      </w:tr>
      <w:tr w:rsidR="008546BD" w:rsidRPr="00415ABA" w14:paraId="00F24135" w14:textId="77777777" w:rsidTr="00337305">
        <w:tc>
          <w:tcPr>
            <w:tcW w:w="1761" w:type="dxa"/>
            <w:vAlign w:val="center"/>
          </w:tcPr>
          <w:p w14:paraId="596C399D" w14:textId="77777777" w:rsidR="008546BD" w:rsidRPr="00165B3D" w:rsidRDefault="008546BD" w:rsidP="00337305">
            <w:pPr>
              <w:pStyle w:val="FSTableText"/>
              <w:spacing w:before="20" w:after="20"/>
              <w:rPr>
                <w:szCs w:val="22"/>
              </w:rPr>
            </w:pPr>
            <w:r w:rsidRPr="00165B3D">
              <w:rPr>
                <w:szCs w:val="22"/>
              </w:rPr>
              <w:t>USDA</w:t>
            </w:r>
          </w:p>
        </w:tc>
        <w:tc>
          <w:tcPr>
            <w:tcW w:w="7726" w:type="dxa"/>
            <w:vAlign w:val="center"/>
          </w:tcPr>
          <w:p w14:paraId="27EB1786" w14:textId="77777777" w:rsidR="008546BD" w:rsidRPr="005840AD" w:rsidRDefault="008546BD" w:rsidP="00337305">
            <w:pPr>
              <w:pStyle w:val="FSTableText"/>
              <w:spacing w:before="20" w:after="20"/>
              <w:rPr>
                <w:szCs w:val="22"/>
              </w:rPr>
            </w:pPr>
            <w:r>
              <w:rPr>
                <w:color w:val="000000" w:themeColor="text1"/>
                <w:lang w:val="en-AU"/>
              </w:rPr>
              <w:t>United States Department of Agriculture</w:t>
            </w:r>
          </w:p>
        </w:tc>
      </w:tr>
      <w:tr w:rsidR="008546BD" w:rsidRPr="00415ABA" w14:paraId="0AE0D829" w14:textId="77777777" w:rsidTr="007C7D6B">
        <w:tc>
          <w:tcPr>
            <w:tcW w:w="1761" w:type="dxa"/>
            <w:shd w:val="clear" w:color="auto" w:fill="D9D9D9" w:themeFill="background1" w:themeFillShade="D9"/>
            <w:vAlign w:val="center"/>
          </w:tcPr>
          <w:p w14:paraId="68BC3357" w14:textId="77777777" w:rsidR="008546BD" w:rsidRPr="00165B3D" w:rsidRDefault="008546BD" w:rsidP="00337305">
            <w:pPr>
              <w:pStyle w:val="FSTableText"/>
              <w:spacing w:before="20" w:after="20"/>
              <w:rPr>
                <w:szCs w:val="22"/>
              </w:rPr>
            </w:pPr>
            <w:r>
              <w:rPr>
                <w:szCs w:val="22"/>
              </w:rPr>
              <w:t>WHO</w:t>
            </w:r>
          </w:p>
        </w:tc>
        <w:tc>
          <w:tcPr>
            <w:tcW w:w="7726" w:type="dxa"/>
            <w:shd w:val="clear" w:color="auto" w:fill="D9D9D9" w:themeFill="background1" w:themeFillShade="D9"/>
            <w:vAlign w:val="center"/>
          </w:tcPr>
          <w:p w14:paraId="170A8D71" w14:textId="77777777" w:rsidR="008546BD" w:rsidRDefault="008546BD" w:rsidP="00337305">
            <w:pPr>
              <w:pStyle w:val="FSTableText"/>
              <w:spacing w:before="20" w:after="20"/>
              <w:rPr>
                <w:color w:val="000000" w:themeColor="text1"/>
                <w:lang w:val="en-AU"/>
              </w:rPr>
            </w:pPr>
            <w:r>
              <w:rPr>
                <w:color w:val="000000" w:themeColor="text1"/>
                <w:lang w:val="en-AU"/>
              </w:rPr>
              <w:t>World Health Organisation</w:t>
            </w:r>
          </w:p>
        </w:tc>
      </w:tr>
    </w:tbl>
    <w:p w14:paraId="638968C4" w14:textId="77777777" w:rsidR="0090194A" w:rsidRDefault="0090194A" w:rsidP="0090194A">
      <w:pPr>
        <w:pStyle w:val="Heading1"/>
        <w:ind w:left="0" w:firstLine="0"/>
        <w:sectPr w:rsidR="0090194A" w:rsidSect="0090194A">
          <w:pgSz w:w="11906" w:h="16838"/>
          <w:pgMar w:top="1418" w:right="1418" w:bottom="1418" w:left="1418" w:header="709" w:footer="709" w:gutter="0"/>
          <w:pgNumType w:fmt="lowerRoman" w:start="4"/>
          <w:cols w:space="708"/>
          <w:docGrid w:linePitch="360"/>
        </w:sectPr>
      </w:pPr>
    </w:p>
    <w:p w14:paraId="1D0E6093" w14:textId="77777777" w:rsidR="008E05EA" w:rsidRDefault="008E05EA" w:rsidP="00221257">
      <w:pPr>
        <w:pStyle w:val="Heading1"/>
        <w:ind w:left="567" w:hanging="567"/>
      </w:pPr>
      <w:bookmarkStart w:id="44" w:name="_Toc496169767"/>
      <w:bookmarkStart w:id="45" w:name="_Toc500321328"/>
      <w:bookmarkStart w:id="46" w:name="_Toc34830883"/>
      <w:r>
        <w:t xml:space="preserve">1 </w:t>
      </w:r>
      <w:r>
        <w:tab/>
        <w:t>Introduction</w:t>
      </w:r>
      <w:bookmarkEnd w:id="44"/>
      <w:bookmarkEnd w:id="45"/>
      <w:bookmarkEnd w:id="46"/>
    </w:p>
    <w:p w14:paraId="360C6D05" w14:textId="64828C74" w:rsidR="008E05EA" w:rsidRDefault="008E05EA" w:rsidP="008E05EA">
      <w:pPr>
        <w:rPr>
          <w:color w:val="000000" w:themeColor="text1"/>
        </w:rPr>
      </w:pPr>
      <w:r>
        <w:rPr>
          <w:color w:val="000000" w:themeColor="text1"/>
        </w:rPr>
        <w:t xml:space="preserve">FSANZ has received an application from </w:t>
      </w:r>
      <w:r w:rsidRPr="008E05EA">
        <w:rPr>
          <w:color w:val="000000" w:themeColor="text1"/>
        </w:rPr>
        <w:t>BASF Agricultural Solutions Seed US LLC</w:t>
      </w:r>
      <w:r>
        <w:rPr>
          <w:color w:val="000000" w:themeColor="text1"/>
        </w:rPr>
        <w:t xml:space="preserve"> </w:t>
      </w:r>
      <w:r w:rsidRPr="00797A2E">
        <w:rPr>
          <w:color w:val="000000" w:themeColor="text1"/>
        </w:rPr>
        <w:t xml:space="preserve">to vary Schedule 26 in the </w:t>
      </w:r>
      <w:r w:rsidRPr="00797A2E">
        <w:rPr>
          <w:i/>
          <w:color w:val="000000" w:themeColor="text1"/>
        </w:rPr>
        <w:t>Australia New Zealand Food Standards Code</w:t>
      </w:r>
      <w:r w:rsidRPr="00797A2E">
        <w:rPr>
          <w:color w:val="000000" w:themeColor="text1"/>
        </w:rPr>
        <w:t xml:space="preserve"> (the Code)</w:t>
      </w:r>
      <w:r>
        <w:rPr>
          <w:color w:val="000000" w:themeColor="text1"/>
        </w:rPr>
        <w:t>. The variation is</w:t>
      </w:r>
      <w:r w:rsidRPr="00797A2E">
        <w:rPr>
          <w:color w:val="000000" w:themeColor="text1"/>
        </w:rPr>
        <w:t xml:space="preserve"> to </w:t>
      </w:r>
      <w:r>
        <w:rPr>
          <w:color w:val="000000" w:themeColor="text1"/>
        </w:rPr>
        <w:t>add</w:t>
      </w:r>
      <w:r w:rsidRPr="00797A2E">
        <w:rPr>
          <w:color w:val="000000" w:themeColor="text1"/>
        </w:rPr>
        <w:t xml:space="preserve"> food </w:t>
      </w:r>
      <w:r>
        <w:rPr>
          <w:color w:val="000000" w:themeColor="text1"/>
        </w:rPr>
        <w:t xml:space="preserve">derived </w:t>
      </w:r>
      <w:r w:rsidRPr="00797A2E">
        <w:rPr>
          <w:color w:val="000000" w:themeColor="text1"/>
        </w:rPr>
        <w:t xml:space="preserve">from </w:t>
      </w:r>
      <w:r>
        <w:rPr>
          <w:color w:val="000000" w:themeColor="text1"/>
        </w:rPr>
        <w:t xml:space="preserve">the genetically modified (GM) </w:t>
      </w:r>
      <w:r w:rsidRPr="00A80AC2">
        <w:t>nematode-protected and herbicide-tolerant soybean line GMB151</w:t>
      </w:r>
      <w:r>
        <w:rPr>
          <w:color w:val="000000" w:themeColor="text1"/>
        </w:rPr>
        <w:t xml:space="preserve">, with the OECD Unique Identifier </w:t>
      </w:r>
      <w:r w:rsidRPr="008E05EA">
        <w:rPr>
          <w:color w:val="000000" w:themeColor="text1"/>
        </w:rPr>
        <w:t>BCS-GM151-6</w:t>
      </w:r>
      <w:r w:rsidR="006626EF">
        <w:rPr>
          <w:color w:val="000000" w:themeColor="text1"/>
        </w:rPr>
        <w:t>. This line is protected against parasitic nematodes</w:t>
      </w:r>
      <w:r w:rsidR="00040538">
        <w:rPr>
          <w:color w:val="000000" w:themeColor="text1"/>
        </w:rPr>
        <w:t>,</w:t>
      </w:r>
      <w:r w:rsidR="006626EF">
        <w:rPr>
          <w:color w:val="000000" w:themeColor="text1"/>
        </w:rPr>
        <w:t xml:space="preserve"> target</w:t>
      </w:r>
      <w:r w:rsidR="00040538">
        <w:rPr>
          <w:color w:val="000000" w:themeColor="text1"/>
        </w:rPr>
        <w:t>ing</w:t>
      </w:r>
      <w:r w:rsidR="006626EF">
        <w:rPr>
          <w:color w:val="000000" w:themeColor="text1"/>
        </w:rPr>
        <w:t xml:space="preserve"> plant roots and is tolerant to </w:t>
      </w:r>
      <w:r w:rsidR="00BD66E2" w:rsidRPr="00750160">
        <w:rPr>
          <w:color w:val="000000" w:themeColor="text1"/>
        </w:rPr>
        <w:t>p-hydroxyphenyl pyruvate</w:t>
      </w:r>
      <w:r w:rsidR="00BD66E2">
        <w:rPr>
          <w:color w:val="000000" w:themeColor="text1"/>
        </w:rPr>
        <w:t xml:space="preserve"> </w:t>
      </w:r>
      <w:r w:rsidR="00BD66E2" w:rsidRPr="00750160">
        <w:rPr>
          <w:color w:val="000000" w:themeColor="text1"/>
        </w:rPr>
        <w:t>dioxygenase</w:t>
      </w:r>
      <w:r w:rsidR="00BD66E2">
        <w:rPr>
          <w:color w:val="000000" w:themeColor="text1"/>
        </w:rPr>
        <w:t xml:space="preserve"> (</w:t>
      </w:r>
      <w:r w:rsidR="006626EF">
        <w:rPr>
          <w:color w:val="000000" w:themeColor="text1"/>
        </w:rPr>
        <w:t>HPPD</w:t>
      </w:r>
      <w:r w:rsidR="00BD66E2">
        <w:rPr>
          <w:color w:val="000000" w:themeColor="text1"/>
        </w:rPr>
        <w:t>)</w:t>
      </w:r>
      <w:r w:rsidR="006626EF">
        <w:rPr>
          <w:color w:val="000000" w:themeColor="text1"/>
        </w:rPr>
        <w:t xml:space="preserve"> inhibitor herbicides</w:t>
      </w:r>
      <w:r w:rsidR="00040538">
        <w:rPr>
          <w:color w:val="000000" w:themeColor="text1"/>
        </w:rPr>
        <w:t>,</w:t>
      </w:r>
      <w:r w:rsidR="006626EF">
        <w:rPr>
          <w:color w:val="000000" w:themeColor="text1"/>
        </w:rPr>
        <w:t xml:space="preserve"> such as isoxaflutole.</w:t>
      </w:r>
    </w:p>
    <w:p w14:paraId="15BF197C" w14:textId="77777777" w:rsidR="008E05EA" w:rsidRDefault="008E05EA" w:rsidP="008E05EA">
      <w:pPr>
        <w:rPr>
          <w:color w:val="000000" w:themeColor="text1"/>
        </w:rPr>
      </w:pPr>
    </w:p>
    <w:p w14:paraId="5F415428" w14:textId="262CCBCB" w:rsidR="008E05EA" w:rsidRDefault="008E05EA" w:rsidP="008E05EA">
      <w:pPr>
        <w:rPr>
          <w:color w:val="000000" w:themeColor="text1"/>
        </w:rPr>
      </w:pPr>
      <w:r>
        <w:rPr>
          <w:color w:val="000000" w:themeColor="text1"/>
        </w:rPr>
        <w:t xml:space="preserve">Protection from </w:t>
      </w:r>
      <w:r w:rsidR="006626EF">
        <w:rPr>
          <w:color w:val="000000" w:themeColor="text1"/>
        </w:rPr>
        <w:t>parasitic nematodes</w:t>
      </w:r>
      <w:r>
        <w:rPr>
          <w:color w:val="000000" w:themeColor="text1"/>
        </w:rPr>
        <w:t xml:space="preserve"> is </w:t>
      </w:r>
      <w:r w:rsidR="00602289">
        <w:rPr>
          <w:color w:val="000000" w:themeColor="text1"/>
        </w:rPr>
        <w:t>conferred</w:t>
      </w:r>
      <w:r>
        <w:rPr>
          <w:color w:val="000000" w:themeColor="text1"/>
        </w:rPr>
        <w:t xml:space="preserve"> by expression of </w:t>
      </w:r>
      <w:r w:rsidR="006626EF">
        <w:rPr>
          <w:color w:val="000000" w:themeColor="text1"/>
        </w:rPr>
        <w:t>the</w:t>
      </w:r>
      <w:r>
        <w:rPr>
          <w:color w:val="000000" w:themeColor="text1"/>
        </w:rPr>
        <w:t xml:space="preserve"> </w:t>
      </w:r>
      <w:r w:rsidR="004D504D">
        <w:rPr>
          <w:color w:val="000000" w:themeColor="text1"/>
        </w:rPr>
        <w:t>Cry14Ab1</w:t>
      </w:r>
      <w:r>
        <w:rPr>
          <w:color w:val="000000" w:themeColor="text1"/>
        </w:rPr>
        <w:t xml:space="preserve"> crystalline (Cry) protein, encoded by the gene </w:t>
      </w:r>
      <w:r w:rsidR="006626EF">
        <w:rPr>
          <w:i/>
          <w:color w:val="000000" w:themeColor="text1"/>
        </w:rPr>
        <w:t>cry14Ab-1.b</w:t>
      </w:r>
      <w:r>
        <w:rPr>
          <w:color w:val="000000" w:themeColor="text1"/>
        </w:rPr>
        <w:t xml:space="preserve"> derived from the soil bacterium </w:t>
      </w:r>
      <w:r w:rsidRPr="00A06199">
        <w:rPr>
          <w:i/>
          <w:color w:val="000000" w:themeColor="text1"/>
        </w:rPr>
        <w:t>Bacillus thuringiensis</w:t>
      </w:r>
      <w:r>
        <w:rPr>
          <w:color w:val="000000" w:themeColor="text1"/>
        </w:rPr>
        <w:t xml:space="preserve">. FSANZ has </w:t>
      </w:r>
      <w:r w:rsidR="006626EF">
        <w:rPr>
          <w:color w:val="000000" w:themeColor="text1"/>
        </w:rPr>
        <w:t xml:space="preserve">assessed and </w:t>
      </w:r>
      <w:r>
        <w:rPr>
          <w:color w:val="000000" w:themeColor="text1"/>
        </w:rPr>
        <w:t xml:space="preserve">approved </w:t>
      </w:r>
      <w:r w:rsidR="006626EF">
        <w:rPr>
          <w:color w:val="000000" w:themeColor="text1"/>
        </w:rPr>
        <w:t>several</w:t>
      </w:r>
      <w:r>
        <w:rPr>
          <w:color w:val="000000" w:themeColor="text1"/>
        </w:rPr>
        <w:t xml:space="preserve"> </w:t>
      </w:r>
      <w:r w:rsidR="00602289">
        <w:rPr>
          <w:color w:val="000000" w:themeColor="text1"/>
        </w:rPr>
        <w:t>a</w:t>
      </w:r>
      <w:r>
        <w:rPr>
          <w:color w:val="000000" w:themeColor="text1"/>
        </w:rPr>
        <w:t xml:space="preserve">pplications where </w:t>
      </w:r>
      <w:r w:rsidRPr="00DF0A88">
        <w:rPr>
          <w:i/>
          <w:color w:val="000000" w:themeColor="text1"/>
        </w:rPr>
        <w:t>B. thuringiensis</w:t>
      </w:r>
      <w:r>
        <w:rPr>
          <w:color w:val="000000" w:themeColor="text1"/>
        </w:rPr>
        <w:t xml:space="preserve"> Cry proteins have been introduced into crops for </w:t>
      </w:r>
      <w:r w:rsidR="00040538">
        <w:rPr>
          <w:color w:val="000000" w:themeColor="text1"/>
        </w:rPr>
        <w:t>pest</w:t>
      </w:r>
      <w:r>
        <w:rPr>
          <w:color w:val="000000" w:themeColor="text1"/>
        </w:rPr>
        <w:t xml:space="preserve">-protection </w:t>
      </w:r>
      <w:r w:rsidRPr="00DF0A88">
        <w:rPr>
          <w:color w:val="000000" w:themeColor="text1"/>
        </w:rPr>
        <w:t xml:space="preserve">but this is the first </w:t>
      </w:r>
      <w:r w:rsidR="00602289">
        <w:rPr>
          <w:color w:val="000000" w:themeColor="text1"/>
        </w:rPr>
        <w:t>a</w:t>
      </w:r>
      <w:r w:rsidRPr="00DF0A88">
        <w:rPr>
          <w:color w:val="000000" w:themeColor="text1"/>
        </w:rPr>
        <w:t xml:space="preserve">pplication </w:t>
      </w:r>
      <w:r>
        <w:rPr>
          <w:color w:val="000000" w:themeColor="text1"/>
        </w:rPr>
        <w:t>based on the</w:t>
      </w:r>
      <w:r w:rsidRPr="00DF0A88">
        <w:rPr>
          <w:color w:val="000000" w:themeColor="text1"/>
        </w:rPr>
        <w:t xml:space="preserve"> </w:t>
      </w:r>
      <w:r w:rsidR="004D504D">
        <w:rPr>
          <w:color w:val="000000" w:themeColor="text1"/>
        </w:rPr>
        <w:t>Cry14Ab1</w:t>
      </w:r>
      <w:r w:rsidR="006626EF">
        <w:rPr>
          <w:color w:val="000000" w:themeColor="text1"/>
        </w:rPr>
        <w:t xml:space="preserve"> </w:t>
      </w:r>
      <w:r w:rsidRPr="00DF0A88">
        <w:rPr>
          <w:color w:val="000000" w:themeColor="text1"/>
        </w:rPr>
        <w:t>protein.</w:t>
      </w:r>
    </w:p>
    <w:p w14:paraId="3DA745D5" w14:textId="6FA4F88B" w:rsidR="006626EF" w:rsidRDefault="006626EF" w:rsidP="008E05EA">
      <w:pPr>
        <w:rPr>
          <w:color w:val="000000" w:themeColor="text1"/>
        </w:rPr>
      </w:pPr>
    </w:p>
    <w:p w14:paraId="26DFDFD0" w14:textId="30C106EC" w:rsidR="006626EF" w:rsidRDefault="006626EF" w:rsidP="008E05EA">
      <w:pPr>
        <w:rPr>
          <w:color w:val="000000" w:themeColor="text1"/>
        </w:rPr>
      </w:pPr>
      <w:r>
        <w:rPr>
          <w:color w:val="000000" w:themeColor="text1"/>
        </w:rPr>
        <w:t xml:space="preserve">Tolerance to HPPD inhibitor herbicides is achieved by expression of </w:t>
      </w:r>
      <w:r w:rsidR="00602289">
        <w:rPr>
          <w:color w:val="000000" w:themeColor="text1"/>
        </w:rPr>
        <w:t>a modified</w:t>
      </w:r>
      <w:r>
        <w:rPr>
          <w:color w:val="000000" w:themeColor="text1"/>
        </w:rPr>
        <w:t xml:space="preserve"> HPPD </w:t>
      </w:r>
      <w:r w:rsidR="00750160">
        <w:rPr>
          <w:color w:val="000000" w:themeColor="text1"/>
        </w:rPr>
        <w:t>enzyme</w:t>
      </w:r>
      <w:r w:rsidR="00340B26">
        <w:rPr>
          <w:color w:val="000000" w:themeColor="text1"/>
        </w:rPr>
        <w:t>, HPPD-4</w:t>
      </w:r>
      <w:r w:rsidR="00750160">
        <w:rPr>
          <w:color w:val="000000" w:themeColor="text1"/>
        </w:rPr>
        <w:t xml:space="preserve">. </w:t>
      </w:r>
      <w:r w:rsidR="00962347">
        <w:rPr>
          <w:color w:val="000000" w:themeColor="text1"/>
        </w:rPr>
        <w:t>The modified protein contains four amino acid changes</w:t>
      </w:r>
      <w:r>
        <w:rPr>
          <w:color w:val="000000" w:themeColor="text1"/>
        </w:rPr>
        <w:t xml:space="preserve">, encoded by </w:t>
      </w:r>
      <w:r w:rsidR="00602289">
        <w:rPr>
          <w:color w:val="000000" w:themeColor="text1"/>
        </w:rPr>
        <w:t>the</w:t>
      </w:r>
      <w:r>
        <w:rPr>
          <w:color w:val="000000" w:themeColor="text1"/>
        </w:rPr>
        <w:t xml:space="preserve"> </w:t>
      </w:r>
      <w:r w:rsidRPr="00602289">
        <w:rPr>
          <w:i/>
          <w:color w:val="000000" w:themeColor="text1"/>
        </w:rPr>
        <w:t>hppdPf-4Pa</w:t>
      </w:r>
      <w:r>
        <w:rPr>
          <w:color w:val="000000" w:themeColor="text1"/>
        </w:rPr>
        <w:t xml:space="preserve"> gene</w:t>
      </w:r>
      <w:r w:rsidR="00962347">
        <w:rPr>
          <w:color w:val="000000" w:themeColor="text1"/>
        </w:rPr>
        <w:t xml:space="preserve">, which is based on the gene </w:t>
      </w:r>
      <w:r w:rsidR="00602289">
        <w:rPr>
          <w:color w:val="000000" w:themeColor="text1"/>
        </w:rPr>
        <w:t xml:space="preserve">from the soil bacterium </w:t>
      </w:r>
      <w:r w:rsidRPr="006626EF">
        <w:rPr>
          <w:i/>
          <w:color w:val="000000" w:themeColor="text1"/>
        </w:rPr>
        <w:t>Pseudomonas fluorescens</w:t>
      </w:r>
      <w:r>
        <w:rPr>
          <w:color w:val="000000" w:themeColor="text1"/>
        </w:rPr>
        <w:t>.</w:t>
      </w:r>
      <w:r w:rsidR="00962347">
        <w:rPr>
          <w:color w:val="000000" w:themeColor="text1"/>
        </w:rPr>
        <w:t xml:space="preserve"> FSANZ has previously approved two GM lines containing a modified </w:t>
      </w:r>
      <w:r w:rsidR="00962347">
        <w:rPr>
          <w:i/>
          <w:color w:val="000000" w:themeColor="text1"/>
        </w:rPr>
        <w:t>hppd</w:t>
      </w:r>
      <w:r w:rsidR="00962347" w:rsidRPr="0068155E">
        <w:rPr>
          <w:i/>
          <w:color w:val="000000" w:themeColor="text1"/>
        </w:rPr>
        <w:t xml:space="preserve">Pf </w:t>
      </w:r>
      <w:r w:rsidR="00962347">
        <w:rPr>
          <w:color w:val="000000" w:themeColor="text1"/>
        </w:rPr>
        <w:t>gene (</w:t>
      </w:r>
      <w:r w:rsidR="00962347">
        <w:rPr>
          <w:rFonts w:cs="Arial"/>
          <w:szCs w:val="22"/>
          <w:lang w:eastAsia="en-GB" w:bidi="ar-SA"/>
        </w:rPr>
        <w:t>FSANZ 2011; 2018)</w:t>
      </w:r>
      <w:r w:rsidR="00962347">
        <w:rPr>
          <w:rFonts w:eastAsia="Batang" w:cs="Arial"/>
          <w:color w:val="000000" w:themeColor="text1"/>
          <w:szCs w:val="22"/>
        </w:rPr>
        <w:t xml:space="preserve"> however this is the first application for the HPPD-4 enzyme.</w:t>
      </w:r>
    </w:p>
    <w:p w14:paraId="68465F84" w14:textId="77777777" w:rsidR="008E05EA" w:rsidRDefault="008E05EA" w:rsidP="008E05EA">
      <w:pPr>
        <w:rPr>
          <w:color w:val="000000" w:themeColor="text1"/>
        </w:rPr>
      </w:pPr>
    </w:p>
    <w:p w14:paraId="7286707C" w14:textId="1192606A" w:rsidR="00D60568" w:rsidRDefault="00750160" w:rsidP="00690206">
      <w:r>
        <w:rPr>
          <w:rFonts w:cs="Arial"/>
          <w:color w:val="000000" w:themeColor="text1"/>
          <w:szCs w:val="22"/>
        </w:rPr>
        <w:t>Soy</w:t>
      </w:r>
      <w:r w:rsidR="008E05EA" w:rsidRPr="00551C01">
        <w:rPr>
          <w:rFonts w:cs="Arial"/>
          <w:color w:val="000000" w:themeColor="text1"/>
          <w:szCs w:val="22"/>
        </w:rPr>
        <w:t xml:space="preserve"> lines containing the </w:t>
      </w:r>
      <w:r>
        <w:rPr>
          <w:rFonts w:cs="Arial"/>
          <w:color w:val="000000" w:themeColor="text1"/>
          <w:szCs w:val="22"/>
        </w:rPr>
        <w:t>GMB151</w:t>
      </w:r>
      <w:r w:rsidR="008E05EA" w:rsidRPr="00551C01">
        <w:rPr>
          <w:rFonts w:cs="Arial"/>
          <w:color w:val="000000" w:themeColor="text1"/>
          <w:szCs w:val="22"/>
        </w:rPr>
        <w:t xml:space="preserve"> transformation event </w:t>
      </w:r>
      <w:r w:rsidR="00962347">
        <w:rPr>
          <w:rFonts w:cs="Arial"/>
          <w:color w:val="000000" w:themeColor="text1"/>
          <w:szCs w:val="22"/>
        </w:rPr>
        <w:t>will not be cultivated in Australia or New Zealand</w:t>
      </w:r>
      <w:r w:rsidR="00BD66E2">
        <w:rPr>
          <w:rFonts w:cs="Arial"/>
          <w:color w:val="000000" w:themeColor="text1"/>
          <w:szCs w:val="22"/>
        </w:rPr>
        <w:t>,</w:t>
      </w:r>
      <w:r w:rsidR="00D42B75">
        <w:rPr>
          <w:rFonts w:cs="Arial"/>
          <w:color w:val="000000" w:themeColor="text1"/>
          <w:szCs w:val="22"/>
        </w:rPr>
        <w:t xml:space="preserve"> therefore f</w:t>
      </w:r>
      <w:r w:rsidR="008E05EA" w:rsidRPr="00551C01">
        <w:rPr>
          <w:rFonts w:cs="Arial"/>
          <w:color w:val="000000" w:themeColor="text1"/>
          <w:szCs w:val="22"/>
        </w:rPr>
        <w:t xml:space="preserve">ood from </w:t>
      </w:r>
      <w:r w:rsidR="00962347">
        <w:rPr>
          <w:rFonts w:cs="Arial"/>
          <w:color w:val="000000" w:themeColor="text1"/>
          <w:szCs w:val="22"/>
        </w:rPr>
        <w:t xml:space="preserve">GMB151 </w:t>
      </w:r>
      <w:r w:rsidR="00BD66E2">
        <w:rPr>
          <w:rFonts w:cs="Arial"/>
          <w:color w:val="000000" w:themeColor="text1"/>
          <w:szCs w:val="22"/>
        </w:rPr>
        <w:t>may</w:t>
      </w:r>
      <w:r w:rsidR="00BD66E2" w:rsidRPr="00551C01">
        <w:rPr>
          <w:rFonts w:cs="Arial"/>
          <w:color w:val="000000" w:themeColor="text1"/>
          <w:szCs w:val="22"/>
        </w:rPr>
        <w:t xml:space="preserve"> </w:t>
      </w:r>
      <w:r w:rsidR="008E05EA" w:rsidRPr="00551C01">
        <w:rPr>
          <w:rFonts w:cs="Arial"/>
          <w:color w:val="000000" w:themeColor="text1"/>
          <w:szCs w:val="22"/>
        </w:rPr>
        <w:t>enter the Australian and New Zealand food supply via imported products.</w:t>
      </w:r>
    </w:p>
    <w:p w14:paraId="3197FEA0" w14:textId="77777777" w:rsidR="00750160" w:rsidRPr="00BB5B58" w:rsidRDefault="00750160" w:rsidP="00221257">
      <w:pPr>
        <w:pStyle w:val="Heading1"/>
        <w:ind w:left="567" w:hanging="567"/>
      </w:pPr>
      <w:bookmarkStart w:id="47" w:name="_Toc454886830"/>
      <w:bookmarkStart w:id="48" w:name="_Toc482255802"/>
      <w:bookmarkStart w:id="49" w:name="_Toc496169768"/>
      <w:bookmarkStart w:id="50" w:name="_Toc34830884"/>
      <w:r w:rsidRPr="00BB5B58">
        <w:t>2</w:t>
      </w:r>
      <w:r w:rsidRPr="00BB5B58">
        <w:tab/>
        <w:t>History of use</w:t>
      </w:r>
      <w:bookmarkEnd w:id="47"/>
      <w:bookmarkEnd w:id="48"/>
      <w:bookmarkEnd w:id="49"/>
      <w:bookmarkEnd w:id="50"/>
      <w:r w:rsidRPr="00BB5B58">
        <w:t xml:space="preserve"> </w:t>
      </w:r>
    </w:p>
    <w:p w14:paraId="2F10195E" w14:textId="77777777" w:rsidR="00750160" w:rsidRPr="00797A2E" w:rsidRDefault="00750160" w:rsidP="008928DE">
      <w:pPr>
        <w:pStyle w:val="Heading2"/>
      </w:pPr>
      <w:bookmarkStart w:id="51" w:name="_Toc454886831"/>
      <w:bookmarkStart w:id="52" w:name="_Toc482255803"/>
      <w:bookmarkStart w:id="53" w:name="_Toc496169769"/>
      <w:bookmarkStart w:id="54" w:name="_Toc34830885"/>
      <w:r>
        <w:t>2.1</w:t>
      </w:r>
      <w:r>
        <w:tab/>
      </w:r>
      <w:r w:rsidRPr="00797A2E">
        <w:t>Host organism</w:t>
      </w:r>
      <w:bookmarkEnd w:id="51"/>
      <w:bookmarkEnd w:id="52"/>
      <w:bookmarkEnd w:id="53"/>
      <w:bookmarkEnd w:id="54"/>
    </w:p>
    <w:p w14:paraId="1FF606FF" w14:textId="542422CA" w:rsidR="00C038D7" w:rsidRDefault="00C038D7" w:rsidP="00C038D7">
      <w:pPr>
        <w:rPr>
          <w:color w:val="000000" w:themeColor="text1"/>
          <w:lang w:val="en-AU"/>
        </w:rPr>
      </w:pPr>
      <w:r>
        <w:rPr>
          <w:color w:val="000000" w:themeColor="text1"/>
          <w:lang w:val="en-AU"/>
        </w:rPr>
        <w:t>The information provided here has been summarised from more detailed reports published by the Organisation for Economic Cooperation and Development (OECD</w:t>
      </w:r>
      <w:r w:rsidR="003A5F78">
        <w:rPr>
          <w:color w:val="000000" w:themeColor="text1"/>
          <w:lang w:val="en-AU"/>
        </w:rPr>
        <w:t xml:space="preserve"> </w:t>
      </w:r>
      <w:r w:rsidR="00A23CF5">
        <w:rPr>
          <w:color w:val="000000" w:themeColor="text1"/>
          <w:lang w:val="en-AU"/>
        </w:rPr>
        <w:t>2012</w:t>
      </w:r>
      <w:r w:rsidR="003A5F78">
        <w:rPr>
          <w:color w:val="000000" w:themeColor="text1"/>
          <w:lang w:val="en-AU"/>
        </w:rPr>
        <w:t>)</w:t>
      </w:r>
      <w:r w:rsidR="008858E1">
        <w:rPr>
          <w:color w:val="000000" w:themeColor="text1"/>
          <w:lang w:val="en-AU"/>
        </w:rPr>
        <w:t>, the Grains Research &amp; Development Corporation (GRDC 2016), Australian Oilseed Foundation (AO</w:t>
      </w:r>
      <w:r w:rsidR="009C4B24">
        <w:rPr>
          <w:color w:val="000000" w:themeColor="text1"/>
          <w:lang w:val="en-AU"/>
        </w:rPr>
        <w:t xml:space="preserve">F </w:t>
      </w:r>
      <w:r w:rsidR="008858E1">
        <w:rPr>
          <w:color w:val="000000" w:themeColor="text1"/>
          <w:lang w:val="en-AU"/>
        </w:rPr>
        <w:t>2008)</w:t>
      </w:r>
      <w:r w:rsidR="005C385F">
        <w:rPr>
          <w:color w:val="000000" w:themeColor="text1"/>
          <w:lang w:val="en-AU"/>
        </w:rPr>
        <w:t xml:space="preserve"> and </w:t>
      </w:r>
      <w:r>
        <w:rPr>
          <w:color w:val="000000" w:themeColor="text1"/>
          <w:lang w:val="en-AU"/>
        </w:rPr>
        <w:t>the US Soybean Export Council (</w:t>
      </w:r>
      <w:r w:rsidRPr="002E2F10">
        <w:rPr>
          <w:color w:val="000000" w:themeColor="text1"/>
          <w:lang w:val="en-AU"/>
        </w:rPr>
        <w:t>USSEC 2015</w:t>
      </w:r>
      <w:r>
        <w:rPr>
          <w:color w:val="000000" w:themeColor="text1"/>
          <w:lang w:val="en-AU"/>
        </w:rPr>
        <w:t xml:space="preserve">). Numerical and statistical data have been sourced from the </w:t>
      </w:r>
      <w:hyperlink r:id="rId10" w:anchor="data" w:history="1">
        <w:r w:rsidRPr="009C4B24">
          <w:rPr>
            <w:rStyle w:val="Hyperlink"/>
            <w:lang w:val="en-AU"/>
          </w:rPr>
          <w:t>FAOSTAT website</w:t>
        </w:r>
      </w:hyperlink>
      <w:r w:rsidR="009C4B24">
        <w:rPr>
          <w:rStyle w:val="FootnoteReference"/>
          <w:color w:val="000000" w:themeColor="text1"/>
          <w:lang w:val="en-AU"/>
        </w:rPr>
        <w:footnoteReference w:id="1"/>
      </w:r>
      <w:r>
        <w:rPr>
          <w:color w:val="000000" w:themeColor="text1"/>
          <w:lang w:val="en-AU"/>
        </w:rPr>
        <w:t xml:space="preserve"> from the </w:t>
      </w:r>
      <w:r w:rsidRPr="009E2FEC">
        <w:rPr>
          <w:color w:val="000000" w:themeColor="text1"/>
          <w:lang w:val="en-AU"/>
        </w:rPr>
        <w:t>Food and Agriculture Organization</w:t>
      </w:r>
      <w:r>
        <w:rPr>
          <w:color w:val="000000" w:themeColor="text1"/>
          <w:lang w:val="en-AU"/>
        </w:rPr>
        <w:t xml:space="preserve"> of</w:t>
      </w:r>
      <w:r w:rsidR="003A5F78">
        <w:rPr>
          <w:color w:val="000000" w:themeColor="text1"/>
          <w:lang w:val="en-AU"/>
        </w:rPr>
        <w:t xml:space="preserve"> the United Nations</w:t>
      </w:r>
      <w:r w:rsidR="005C385F">
        <w:rPr>
          <w:color w:val="000000" w:themeColor="text1"/>
          <w:lang w:val="en-AU"/>
        </w:rPr>
        <w:t xml:space="preserve">, </w:t>
      </w:r>
      <w:r w:rsidR="009C4B24">
        <w:rPr>
          <w:color w:val="000000" w:themeColor="text1"/>
          <w:lang w:val="en-AU"/>
        </w:rPr>
        <w:t xml:space="preserve">the United States Department of Agriculture </w:t>
      </w:r>
      <w:hyperlink r:id="rId11" w:history="1">
        <w:r w:rsidR="009C4B24" w:rsidRPr="009C4B24">
          <w:rPr>
            <w:rStyle w:val="Hyperlink"/>
            <w:lang w:val="en-AU"/>
          </w:rPr>
          <w:t>Foreign Agricultural Service website</w:t>
        </w:r>
      </w:hyperlink>
      <w:r w:rsidR="009C4B24">
        <w:rPr>
          <w:rStyle w:val="FootnoteReference"/>
          <w:color w:val="000000" w:themeColor="text1"/>
          <w:lang w:val="en-AU"/>
        </w:rPr>
        <w:footnoteReference w:id="2"/>
      </w:r>
      <w:r w:rsidR="009C4B24">
        <w:rPr>
          <w:color w:val="000000" w:themeColor="text1"/>
          <w:lang w:val="en-AU"/>
        </w:rPr>
        <w:t xml:space="preserve"> and </w:t>
      </w:r>
      <w:r w:rsidR="005C385F">
        <w:rPr>
          <w:color w:val="000000" w:themeColor="text1"/>
          <w:lang w:val="en-AU"/>
        </w:rPr>
        <w:t>the International Service for the Acquisition of Agri-Biotech Applications (ISAAA 2017)</w:t>
      </w:r>
      <w:r w:rsidR="003A5F78">
        <w:rPr>
          <w:color w:val="000000" w:themeColor="text1"/>
          <w:lang w:val="en-AU"/>
        </w:rPr>
        <w:t>.</w:t>
      </w:r>
    </w:p>
    <w:p w14:paraId="0CE38DF9" w14:textId="3DBF42D5" w:rsidR="003A5F78" w:rsidRDefault="003A5F78" w:rsidP="00C038D7">
      <w:pPr>
        <w:rPr>
          <w:color w:val="000000" w:themeColor="text1"/>
          <w:lang w:val="en-AU"/>
        </w:rPr>
      </w:pPr>
    </w:p>
    <w:p w14:paraId="6D73A78A" w14:textId="72EE0A34" w:rsidR="003A5F78" w:rsidRDefault="00413066" w:rsidP="00C038D7">
      <w:pPr>
        <w:rPr>
          <w:color w:val="000000" w:themeColor="text1"/>
          <w:lang w:val="en-AU"/>
        </w:rPr>
      </w:pPr>
      <w:r w:rsidRPr="0011077E">
        <w:rPr>
          <w:rFonts w:eastAsia="Batang" w:cs="Arial"/>
          <w:color w:val="000000" w:themeColor="text1"/>
          <w:szCs w:val="22"/>
        </w:rPr>
        <w:t>The host organism is conventional soybean (</w:t>
      </w:r>
      <w:r w:rsidRPr="0092310B">
        <w:rPr>
          <w:rFonts w:eastAsia="Batang" w:cs="Arial"/>
          <w:i/>
          <w:color w:val="000000" w:themeColor="text1"/>
          <w:szCs w:val="22"/>
        </w:rPr>
        <w:t>Glycine max</w:t>
      </w:r>
      <w:r w:rsidRPr="0011077E">
        <w:rPr>
          <w:rFonts w:eastAsia="Batang" w:cs="Arial"/>
          <w:color w:val="000000" w:themeColor="text1"/>
          <w:szCs w:val="22"/>
        </w:rPr>
        <w:t xml:space="preserve"> (L.) Merr</w:t>
      </w:r>
      <w:r w:rsidR="00040538">
        <w:rPr>
          <w:rFonts w:eastAsia="Batang" w:cs="Arial"/>
          <w:color w:val="000000" w:themeColor="text1"/>
          <w:szCs w:val="22"/>
        </w:rPr>
        <w:t>ill</w:t>
      </w:r>
      <w:r w:rsidRPr="0011077E">
        <w:rPr>
          <w:rFonts w:eastAsia="Batang" w:cs="Arial"/>
          <w:color w:val="000000" w:themeColor="text1"/>
          <w:szCs w:val="22"/>
        </w:rPr>
        <w:t xml:space="preserve">), belonging to the family </w:t>
      </w:r>
      <w:r w:rsidRPr="00B5556B">
        <w:rPr>
          <w:rFonts w:eastAsia="Batang" w:cs="Arial"/>
          <w:i/>
          <w:color w:val="000000" w:themeColor="text1"/>
          <w:szCs w:val="22"/>
        </w:rPr>
        <w:t>Leguminosae</w:t>
      </w:r>
      <w:r w:rsidRPr="0011077E">
        <w:rPr>
          <w:rFonts w:eastAsia="Batang" w:cs="Arial"/>
          <w:color w:val="000000" w:themeColor="text1"/>
          <w:szCs w:val="22"/>
        </w:rPr>
        <w:t xml:space="preserve">. The soybean cultivar </w:t>
      </w:r>
      <w:r>
        <w:rPr>
          <w:rFonts w:eastAsia="Batang" w:cs="Arial"/>
          <w:color w:val="000000" w:themeColor="text1"/>
          <w:szCs w:val="22"/>
        </w:rPr>
        <w:t>Thorne</w:t>
      </w:r>
      <w:r w:rsidRPr="0011077E">
        <w:rPr>
          <w:rFonts w:eastAsia="Batang" w:cs="Arial"/>
          <w:color w:val="000000" w:themeColor="text1"/>
          <w:szCs w:val="22"/>
        </w:rPr>
        <w:t xml:space="preserve"> was used as the parental variety for the genetic modification described in this application, and thus is regarded as the near-isogenic line for the purposes of comparative assessment with </w:t>
      </w:r>
      <w:r>
        <w:rPr>
          <w:rFonts w:eastAsia="Batang" w:cs="Arial"/>
          <w:color w:val="000000" w:themeColor="text1"/>
          <w:szCs w:val="22"/>
        </w:rPr>
        <w:t>GMB151.</w:t>
      </w:r>
    </w:p>
    <w:p w14:paraId="72D1BFDF" w14:textId="771EFB5C" w:rsidR="00750160" w:rsidRDefault="00750160" w:rsidP="00690206"/>
    <w:p w14:paraId="0F3DE671" w14:textId="7A264B74" w:rsidR="000A3A89" w:rsidRPr="001015F8" w:rsidRDefault="00F535E4" w:rsidP="000A3A89">
      <w:pPr>
        <w:rPr>
          <w:highlight w:val="yellow"/>
        </w:rPr>
      </w:pPr>
      <w:r>
        <w:t>Soybean is grown as a commercial food and feed crop in many countries worldwide, with some 96 countries listed as producers in 2018. The major producers of soybeans, accounting for 90% of world production, are the U</w:t>
      </w:r>
      <w:r w:rsidR="00BD66E2">
        <w:t xml:space="preserve">nited </w:t>
      </w:r>
      <w:r>
        <w:t>S</w:t>
      </w:r>
      <w:r w:rsidR="00BD66E2">
        <w:t>tates</w:t>
      </w:r>
      <w:r>
        <w:t xml:space="preserve"> </w:t>
      </w:r>
      <w:r w:rsidR="00F25384">
        <w:t>(US)</w:t>
      </w:r>
      <w:r w:rsidR="00C242CA">
        <w:t xml:space="preserve"> </w:t>
      </w:r>
      <w:r>
        <w:t>(</w:t>
      </w:r>
      <w:r w:rsidR="00A65799">
        <w:t>123.7</w:t>
      </w:r>
      <w:r>
        <w:t xml:space="preserve"> MT), Brazil (</w:t>
      </w:r>
      <w:r w:rsidR="00A65799">
        <w:t>117.9</w:t>
      </w:r>
      <w:r>
        <w:t xml:space="preserve"> MT), Argentina (</w:t>
      </w:r>
      <w:r w:rsidR="00A65799">
        <w:t>37.8</w:t>
      </w:r>
      <w:r>
        <w:t xml:space="preserve"> MT), China (14.</w:t>
      </w:r>
      <w:r w:rsidR="00A65799">
        <w:t>2</w:t>
      </w:r>
      <w:r>
        <w:t xml:space="preserve"> MT)</w:t>
      </w:r>
      <w:r w:rsidR="00A65799">
        <w:t>,</w:t>
      </w:r>
      <w:r>
        <w:t xml:space="preserve"> India (1</w:t>
      </w:r>
      <w:r w:rsidR="00A65799">
        <w:t>3</w:t>
      </w:r>
      <w:r>
        <w:t>.</w:t>
      </w:r>
      <w:r w:rsidR="00A65799">
        <w:t>8</w:t>
      </w:r>
      <w:r>
        <w:t xml:space="preserve"> MT) </w:t>
      </w:r>
      <w:r w:rsidR="00A65799">
        <w:t>and Paraguay (11.1 MT)</w:t>
      </w:r>
      <w:r>
        <w:t xml:space="preserve">. </w:t>
      </w:r>
      <w:r w:rsidR="0000229C">
        <w:t xml:space="preserve">The proportion of </w:t>
      </w:r>
      <w:r w:rsidR="000A3A89" w:rsidRPr="005C385F">
        <w:t xml:space="preserve">GM soybean </w:t>
      </w:r>
      <w:r w:rsidR="0000229C">
        <w:t>cultivation in these countries is significant</w:t>
      </w:r>
      <w:r w:rsidR="000A3A89" w:rsidRPr="005C385F">
        <w:t xml:space="preserve">  </w:t>
      </w:r>
      <w:r w:rsidR="00941492">
        <w:t>(</w:t>
      </w:r>
      <w:r w:rsidR="000A3A89" w:rsidRPr="005C385F">
        <w:t>US</w:t>
      </w:r>
      <w:r w:rsidR="00941492">
        <w:t xml:space="preserve"> -  </w:t>
      </w:r>
      <w:r w:rsidR="000A3A89" w:rsidRPr="005C385F">
        <w:t xml:space="preserve">94%; Brazil </w:t>
      </w:r>
      <w:r w:rsidR="00941492">
        <w:t xml:space="preserve">- </w:t>
      </w:r>
      <w:r w:rsidR="000A3A89" w:rsidRPr="005C385F">
        <w:t>97</w:t>
      </w:r>
      <w:r w:rsidR="000A3A89" w:rsidRPr="000A3A89">
        <w:t xml:space="preserve">%; Argentina </w:t>
      </w:r>
      <w:r w:rsidR="00941492">
        <w:t>-</w:t>
      </w:r>
      <w:r w:rsidR="000A3A89" w:rsidRPr="000A3A89">
        <w:t xml:space="preserve">100%; </w:t>
      </w:r>
      <w:r w:rsidR="000A3A89">
        <w:t xml:space="preserve">and </w:t>
      </w:r>
      <w:r w:rsidR="000A3A89" w:rsidRPr="000A3A89">
        <w:t xml:space="preserve">Paraguay </w:t>
      </w:r>
      <w:r w:rsidR="00941492">
        <w:t xml:space="preserve">- </w:t>
      </w:r>
      <w:r w:rsidR="000A3A89" w:rsidRPr="000A3A89">
        <w:t>96%).</w:t>
      </w:r>
    </w:p>
    <w:p w14:paraId="482FDEC6" w14:textId="77777777" w:rsidR="000A3A89" w:rsidRDefault="000A3A89" w:rsidP="00F535E4"/>
    <w:p w14:paraId="46D68E15" w14:textId="489A311C" w:rsidR="00F535E4" w:rsidRDefault="00F535E4" w:rsidP="00F535E4">
      <w:r>
        <w:t>Australia</w:t>
      </w:r>
      <w:r w:rsidR="00A65799">
        <w:t xml:space="preserve"> </w:t>
      </w:r>
      <w:r w:rsidR="006949E9">
        <w:t>is a</w:t>
      </w:r>
      <w:r>
        <w:t xml:space="preserve"> net importer of soybean</w:t>
      </w:r>
      <w:r w:rsidR="00A65799">
        <w:t xml:space="preserve"> and soybean products</w:t>
      </w:r>
      <w:r>
        <w:t xml:space="preserve">, </w:t>
      </w:r>
      <w:r w:rsidR="006949E9">
        <w:t xml:space="preserve">cultivating 63,000T and importing 892,000T. </w:t>
      </w:r>
      <w:r w:rsidR="0000229C">
        <w:t>Soybean cultivation in Australia is typical</w:t>
      </w:r>
      <w:r w:rsidR="00A511BA">
        <w:t>ly</w:t>
      </w:r>
      <w:r w:rsidR="0000229C">
        <w:t xml:space="preserve"> used as a rotational crop, either for green manure or forage and grain for animal feed. </w:t>
      </w:r>
      <w:r w:rsidR="006949E9">
        <w:t xml:space="preserve">New Zealand has no domestic cultivation </w:t>
      </w:r>
      <w:r w:rsidR="00A511BA">
        <w:t xml:space="preserve">of soybean </w:t>
      </w:r>
      <w:r w:rsidR="006949E9">
        <w:t xml:space="preserve">and imports 292,000T. </w:t>
      </w:r>
    </w:p>
    <w:p w14:paraId="45286461" w14:textId="77777777" w:rsidR="00F535E4" w:rsidRPr="001015F8" w:rsidRDefault="00F535E4" w:rsidP="00F535E4">
      <w:pPr>
        <w:rPr>
          <w:highlight w:val="yellow"/>
        </w:rPr>
      </w:pPr>
    </w:p>
    <w:p w14:paraId="3B9C2592" w14:textId="4A831FF9" w:rsidR="00315E2C" w:rsidRPr="0000229C" w:rsidRDefault="0000229C" w:rsidP="00315E2C">
      <w:r w:rsidRPr="0000229C">
        <w:t xml:space="preserve">The </w:t>
      </w:r>
      <w:r w:rsidR="00552A0F">
        <w:t>types</w:t>
      </w:r>
      <w:r w:rsidRPr="0000229C">
        <w:t xml:space="preserve"> of food products derived from s</w:t>
      </w:r>
      <w:r w:rsidR="00F535E4" w:rsidRPr="0000229C">
        <w:t xml:space="preserve">oybean </w:t>
      </w:r>
      <w:r w:rsidR="00552A0F">
        <w:t>are</w:t>
      </w:r>
      <w:r w:rsidR="002A5E0E">
        <w:t xml:space="preserve"> outlined in </w:t>
      </w:r>
      <w:hyperlink w:anchor="Table1" w:history="1">
        <w:r w:rsidR="002A5E0E" w:rsidRPr="00337305">
          <w:rPr>
            <w:rStyle w:val="Hyperlink"/>
          </w:rPr>
          <w:t>Table 1</w:t>
        </w:r>
      </w:hyperlink>
      <w:r w:rsidR="00315E2C">
        <w:t xml:space="preserve">. </w:t>
      </w:r>
      <w:r w:rsidR="002A5E0E">
        <w:t>The products from which GMB151</w:t>
      </w:r>
      <w:r w:rsidR="00552A0F">
        <w:t>-</w:t>
      </w:r>
      <w:r w:rsidR="002A5E0E">
        <w:t>derived lines will be target</w:t>
      </w:r>
      <w:r w:rsidR="00824858">
        <w:t>ed towards</w:t>
      </w:r>
      <w:r w:rsidR="002A5E0E">
        <w:t xml:space="preserve"> are the fractionated products, </w:t>
      </w:r>
      <w:r w:rsidR="00552A0F">
        <w:t xml:space="preserve">made from soybean grain, </w:t>
      </w:r>
      <w:r w:rsidR="002A5E0E">
        <w:t>such as refined oils and protein products. Refined oil from soybean is used in cooking oils, shortening, margarine, frozen desserts and confectionery products. Protein products fr</w:t>
      </w:r>
      <w:r w:rsidR="004C6558">
        <w:t>om soybean are</w:t>
      </w:r>
      <w:r w:rsidR="002A5E0E">
        <w:t xml:space="preserve"> used in meat analogues, bakery ingredients</w:t>
      </w:r>
      <w:r w:rsidR="00552A0F">
        <w:t>, breakfast cereals, baby foods and</w:t>
      </w:r>
      <w:r w:rsidR="002A5E0E">
        <w:t xml:space="preserve"> infant formula</w:t>
      </w:r>
      <w:r w:rsidR="00552A0F">
        <w:t>.</w:t>
      </w:r>
      <w:r w:rsidR="002A5E0E">
        <w:t xml:space="preserve"> </w:t>
      </w:r>
      <w:r w:rsidR="00315E2C" w:rsidRPr="0000229C">
        <w:t>Unprocessed (raw) soybean</w:t>
      </w:r>
      <w:r w:rsidR="00552A0F">
        <w:t xml:space="preserve"> grain products</w:t>
      </w:r>
      <w:r w:rsidR="00315E2C" w:rsidRPr="0000229C">
        <w:t xml:space="preserve"> are not suitable for food</w:t>
      </w:r>
      <w:r w:rsidR="00315E2C">
        <w:t>,</w:t>
      </w:r>
      <w:r w:rsidR="00315E2C" w:rsidRPr="0000229C">
        <w:t xml:space="preserve"> </w:t>
      </w:r>
      <w:r w:rsidR="00315E2C">
        <w:t>due to presence of</w:t>
      </w:r>
      <w:r w:rsidR="00315E2C" w:rsidRPr="0000229C">
        <w:t xml:space="preserve"> anti-</w:t>
      </w:r>
      <w:r w:rsidR="00552A0F" w:rsidRPr="0000229C">
        <w:t>nutrie</w:t>
      </w:r>
      <w:r w:rsidR="00552A0F">
        <w:t>nts</w:t>
      </w:r>
      <w:r w:rsidR="00315E2C" w:rsidRPr="0000229C">
        <w:t xml:space="preserve">, such as </w:t>
      </w:r>
      <w:r w:rsidR="00552A0F">
        <w:rPr>
          <w:color w:val="000000" w:themeColor="text1"/>
        </w:rPr>
        <w:t>phytic acid</w:t>
      </w:r>
      <w:r w:rsidR="00315E2C" w:rsidRPr="0000229C">
        <w:t xml:space="preserve"> and </w:t>
      </w:r>
      <w:r w:rsidR="00552A0F">
        <w:rPr>
          <w:color w:val="000000" w:themeColor="text1"/>
        </w:rPr>
        <w:t>isoflavones</w:t>
      </w:r>
      <w:r w:rsidR="00552A0F" w:rsidRPr="0000229C">
        <w:t xml:space="preserve"> </w:t>
      </w:r>
      <w:r w:rsidR="00552A0F">
        <w:t xml:space="preserve">(OECD </w:t>
      </w:r>
      <w:r w:rsidR="00315E2C" w:rsidRPr="0000229C">
        <w:t xml:space="preserve">2012). </w:t>
      </w:r>
      <w:r w:rsidR="00552A0F">
        <w:t xml:space="preserve">The processing used with the </w:t>
      </w:r>
      <w:r w:rsidR="00315E2C">
        <w:t xml:space="preserve">soybean </w:t>
      </w:r>
      <w:r w:rsidR="00552A0F">
        <w:t xml:space="preserve">grain </w:t>
      </w:r>
      <w:r w:rsidR="00315E2C">
        <w:t xml:space="preserve">products </w:t>
      </w:r>
      <w:r w:rsidR="00552A0F">
        <w:t>inactivate</w:t>
      </w:r>
      <w:r w:rsidR="00552A0F" w:rsidRPr="0000229C">
        <w:t xml:space="preserve"> these </w:t>
      </w:r>
      <w:r w:rsidR="00552A0F">
        <w:t xml:space="preserve">anti-nutrients, making them </w:t>
      </w:r>
      <w:r w:rsidR="00315E2C">
        <w:t>suitable for food use</w:t>
      </w:r>
      <w:r w:rsidR="00552A0F">
        <w:t>.</w:t>
      </w:r>
    </w:p>
    <w:p w14:paraId="399FC4CA" w14:textId="5A964885" w:rsidR="00F535E4" w:rsidRDefault="00F535E4" w:rsidP="00F535E4"/>
    <w:p w14:paraId="45A7905B" w14:textId="46294033" w:rsidR="00315E2C" w:rsidRDefault="00552A0F" w:rsidP="00552A0F">
      <w:pPr>
        <w:pStyle w:val="FSTableTitle"/>
        <w:tabs>
          <w:tab w:val="left" w:pos="284"/>
        </w:tabs>
        <w:spacing w:after="80"/>
      </w:pPr>
      <w:r>
        <w:tab/>
      </w:r>
      <w:bookmarkStart w:id="55" w:name="Table1"/>
      <w:r>
        <w:t>Table 1</w:t>
      </w:r>
      <w:bookmarkEnd w:id="55"/>
      <w:r>
        <w:t>: Food product groups derived from soybean</w:t>
      </w:r>
    </w:p>
    <w:tbl>
      <w:tblPr>
        <w:tblStyle w:val="TableGrid"/>
        <w:tblW w:w="0" w:type="auto"/>
        <w:tblInd w:w="279" w:type="dxa"/>
        <w:tblLook w:val="04A0" w:firstRow="1" w:lastRow="0" w:firstColumn="1" w:lastColumn="0" w:noHBand="0" w:noVBand="1"/>
        <w:tblCaption w:val="Table 1"/>
        <w:tblDescription w:val="Food product groups derived from soybean"/>
      </w:tblPr>
      <w:tblGrid>
        <w:gridCol w:w="2706"/>
        <w:gridCol w:w="3247"/>
      </w:tblGrid>
      <w:tr w:rsidR="00315E2C" w14:paraId="0FF94483" w14:textId="77777777" w:rsidTr="00552A0F">
        <w:tc>
          <w:tcPr>
            <w:tcW w:w="2706" w:type="dxa"/>
            <w:shd w:val="clear" w:color="auto" w:fill="7F7F7F" w:themeFill="text1" w:themeFillTint="80"/>
          </w:tcPr>
          <w:p w14:paraId="09892E1D" w14:textId="18C660BC" w:rsidR="00315E2C" w:rsidRPr="00552A0F" w:rsidRDefault="00315E2C" w:rsidP="00552A0F">
            <w:pPr>
              <w:pStyle w:val="FSTableHeading"/>
              <w:jc w:val="left"/>
              <w:rPr>
                <w:color w:val="FFFFFF" w:themeColor="background1"/>
              </w:rPr>
            </w:pPr>
            <w:r w:rsidRPr="00552A0F">
              <w:rPr>
                <w:color w:val="FFFFFF" w:themeColor="background1"/>
              </w:rPr>
              <w:t>Whole soybean products</w:t>
            </w:r>
          </w:p>
        </w:tc>
        <w:tc>
          <w:tcPr>
            <w:tcW w:w="3247" w:type="dxa"/>
            <w:shd w:val="clear" w:color="auto" w:fill="7F7F7F" w:themeFill="text1" w:themeFillTint="80"/>
          </w:tcPr>
          <w:p w14:paraId="6EBAD138" w14:textId="62D070BA" w:rsidR="00315E2C" w:rsidRPr="00552A0F" w:rsidRDefault="002A5E0E" w:rsidP="00552A0F">
            <w:pPr>
              <w:pStyle w:val="FSTableHeading"/>
              <w:jc w:val="left"/>
              <w:rPr>
                <w:color w:val="FFFFFF" w:themeColor="background1"/>
              </w:rPr>
            </w:pPr>
            <w:r w:rsidRPr="00552A0F">
              <w:rPr>
                <w:color w:val="FFFFFF" w:themeColor="background1"/>
              </w:rPr>
              <w:t>Fractionated</w:t>
            </w:r>
            <w:r w:rsidR="00315E2C" w:rsidRPr="00552A0F">
              <w:rPr>
                <w:color w:val="FFFFFF" w:themeColor="background1"/>
              </w:rPr>
              <w:t xml:space="preserve"> soybean products</w:t>
            </w:r>
          </w:p>
        </w:tc>
      </w:tr>
      <w:tr w:rsidR="00315E2C" w14:paraId="648D19F1" w14:textId="77777777" w:rsidTr="00552A0F">
        <w:tc>
          <w:tcPr>
            <w:tcW w:w="2706" w:type="dxa"/>
          </w:tcPr>
          <w:p w14:paraId="68C6101B" w14:textId="0B61107F" w:rsidR="00315E2C" w:rsidRDefault="00315E2C" w:rsidP="00552A0F">
            <w:pPr>
              <w:pStyle w:val="FSTableText"/>
            </w:pPr>
            <w:r w:rsidRPr="0000229C">
              <w:t>soy (bean) sprouts</w:t>
            </w:r>
          </w:p>
        </w:tc>
        <w:tc>
          <w:tcPr>
            <w:tcW w:w="3247" w:type="dxa"/>
          </w:tcPr>
          <w:p w14:paraId="1164D6B2" w14:textId="409D1816" w:rsidR="00315E2C" w:rsidRDefault="002A5E0E" w:rsidP="00552A0F">
            <w:pPr>
              <w:pStyle w:val="FSTableText"/>
            </w:pPr>
            <w:r>
              <w:t>r</w:t>
            </w:r>
            <w:r w:rsidR="00315E2C">
              <w:t>efined soybean oil</w:t>
            </w:r>
          </w:p>
        </w:tc>
      </w:tr>
      <w:tr w:rsidR="00315E2C" w14:paraId="5B7566F2" w14:textId="77777777" w:rsidTr="00552A0F">
        <w:tc>
          <w:tcPr>
            <w:tcW w:w="2706" w:type="dxa"/>
            <w:shd w:val="clear" w:color="auto" w:fill="D9D9D9" w:themeFill="background1" w:themeFillShade="D9"/>
          </w:tcPr>
          <w:p w14:paraId="142923FF" w14:textId="1FB70366" w:rsidR="00315E2C" w:rsidRDefault="00315E2C" w:rsidP="00552A0F">
            <w:pPr>
              <w:pStyle w:val="FSTableText"/>
            </w:pPr>
            <w:r w:rsidRPr="0000229C">
              <w:t>baked soybeans</w:t>
            </w:r>
          </w:p>
        </w:tc>
        <w:tc>
          <w:tcPr>
            <w:tcW w:w="3247" w:type="dxa"/>
            <w:shd w:val="clear" w:color="auto" w:fill="D9D9D9" w:themeFill="background1" w:themeFillShade="D9"/>
          </w:tcPr>
          <w:p w14:paraId="0956A144" w14:textId="24457A86" w:rsidR="00315E2C" w:rsidRDefault="002A5E0E" w:rsidP="00552A0F">
            <w:pPr>
              <w:pStyle w:val="FSTableText"/>
            </w:pPr>
            <w:r>
              <w:t>l</w:t>
            </w:r>
            <w:r w:rsidR="00315E2C">
              <w:t>ecithin</w:t>
            </w:r>
          </w:p>
        </w:tc>
      </w:tr>
      <w:tr w:rsidR="00315E2C" w14:paraId="1242311D" w14:textId="77777777" w:rsidTr="00552A0F">
        <w:tc>
          <w:tcPr>
            <w:tcW w:w="2706" w:type="dxa"/>
          </w:tcPr>
          <w:p w14:paraId="41FB496D" w14:textId="6130B868" w:rsidR="00315E2C" w:rsidRDefault="00315E2C" w:rsidP="00552A0F">
            <w:pPr>
              <w:pStyle w:val="FSTableText"/>
            </w:pPr>
            <w:r w:rsidRPr="0000229C">
              <w:t>roasted soybeans</w:t>
            </w:r>
          </w:p>
        </w:tc>
        <w:tc>
          <w:tcPr>
            <w:tcW w:w="3247" w:type="dxa"/>
          </w:tcPr>
          <w:p w14:paraId="603CA992" w14:textId="7222C2DF" w:rsidR="00315E2C" w:rsidRDefault="002A5E0E" w:rsidP="00552A0F">
            <w:pPr>
              <w:pStyle w:val="FSTableText"/>
            </w:pPr>
            <w:r>
              <w:t>s</w:t>
            </w:r>
            <w:r w:rsidR="00315E2C">
              <w:t>oy flour</w:t>
            </w:r>
          </w:p>
        </w:tc>
      </w:tr>
      <w:tr w:rsidR="00315E2C" w14:paraId="2362B1A2" w14:textId="77777777" w:rsidTr="00552A0F">
        <w:tc>
          <w:tcPr>
            <w:tcW w:w="2706" w:type="dxa"/>
            <w:shd w:val="clear" w:color="auto" w:fill="D9D9D9" w:themeFill="background1" w:themeFillShade="D9"/>
          </w:tcPr>
          <w:p w14:paraId="1062EEAB" w14:textId="720B20D8" w:rsidR="00315E2C" w:rsidRDefault="00315E2C" w:rsidP="00552A0F">
            <w:pPr>
              <w:pStyle w:val="FSTableText"/>
            </w:pPr>
            <w:r w:rsidRPr="0000229C">
              <w:t>soy full-fat flour</w:t>
            </w:r>
          </w:p>
        </w:tc>
        <w:tc>
          <w:tcPr>
            <w:tcW w:w="3247" w:type="dxa"/>
            <w:shd w:val="clear" w:color="auto" w:fill="D9D9D9" w:themeFill="background1" w:themeFillShade="D9"/>
          </w:tcPr>
          <w:p w14:paraId="3E6AD463" w14:textId="53378002" w:rsidR="00315E2C" w:rsidRDefault="002A5E0E" w:rsidP="00552A0F">
            <w:pPr>
              <w:pStyle w:val="FSTableText"/>
            </w:pPr>
            <w:r>
              <w:t>p</w:t>
            </w:r>
            <w:r w:rsidR="00315E2C">
              <w:t>rotein concentrate</w:t>
            </w:r>
          </w:p>
        </w:tc>
      </w:tr>
      <w:tr w:rsidR="00315E2C" w14:paraId="1EB898BF" w14:textId="77777777" w:rsidTr="00552A0F">
        <w:tc>
          <w:tcPr>
            <w:tcW w:w="2706" w:type="dxa"/>
          </w:tcPr>
          <w:p w14:paraId="1C455B43" w14:textId="7CA6189C" w:rsidR="00315E2C" w:rsidRDefault="00315E2C" w:rsidP="00552A0F">
            <w:pPr>
              <w:pStyle w:val="FSTableText"/>
            </w:pPr>
            <w:r w:rsidRPr="0000229C">
              <w:t>soy milk</w:t>
            </w:r>
          </w:p>
        </w:tc>
        <w:tc>
          <w:tcPr>
            <w:tcW w:w="3247" w:type="dxa"/>
          </w:tcPr>
          <w:p w14:paraId="2BCAD0CA" w14:textId="16115EDF" w:rsidR="00315E2C" w:rsidRDefault="002A5E0E" w:rsidP="00552A0F">
            <w:pPr>
              <w:pStyle w:val="FSTableText"/>
            </w:pPr>
            <w:r>
              <w:t>p</w:t>
            </w:r>
            <w:r w:rsidR="00315E2C">
              <w:t>rotein isolates</w:t>
            </w:r>
          </w:p>
        </w:tc>
      </w:tr>
      <w:tr w:rsidR="00315E2C" w14:paraId="733A32E1" w14:textId="77777777" w:rsidTr="00552A0F">
        <w:tc>
          <w:tcPr>
            <w:tcW w:w="2706" w:type="dxa"/>
            <w:shd w:val="clear" w:color="auto" w:fill="D9D9D9" w:themeFill="background1" w:themeFillShade="D9"/>
          </w:tcPr>
          <w:p w14:paraId="2AC8962E" w14:textId="707FF391" w:rsidR="00315E2C" w:rsidRDefault="00315E2C" w:rsidP="00552A0F">
            <w:pPr>
              <w:pStyle w:val="FSTableText"/>
            </w:pPr>
            <w:r>
              <w:t>tofu</w:t>
            </w:r>
          </w:p>
        </w:tc>
        <w:tc>
          <w:tcPr>
            <w:tcW w:w="3247" w:type="dxa"/>
            <w:shd w:val="clear" w:color="auto" w:fill="D9D9D9" w:themeFill="background1" w:themeFillShade="D9"/>
          </w:tcPr>
          <w:p w14:paraId="6C361E6D" w14:textId="77777777" w:rsidR="00315E2C" w:rsidRDefault="00315E2C" w:rsidP="00552A0F">
            <w:pPr>
              <w:pStyle w:val="FSTableText"/>
            </w:pPr>
          </w:p>
        </w:tc>
      </w:tr>
      <w:tr w:rsidR="00315E2C" w14:paraId="149DF3C6" w14:textId="77777777" w:rsidTr="00552A0F">
        <w:tc>
          <w:tcPr>
            <w:tcW w:w="2706" w:type="dxa"/>
          </w:tcPr>
          <w:p w14:paraId="5686D604" w14:textId="77C0FF87" w:rsidR="00315E2C" w:rsidRDefault="00315E2C" w:rsidP="00552A0F">
            <w:pPr>
              <w:pStyle w:val="FSTableText"/>
            </w:pPr>
            <w:r w:rsidRPr="0000229C">
              <w:t>soy sauce</w:t>
            </w:r>
          </w:p>
        </w:tc>
        <w:tc>
          <w:tcPr>
            <w:tcW w:w="3247" w:type="dxa"/>
          </w:tcPr>
          <w:p w14:paraId="0DCD3604" w14:textId="77777777" w:rsidR="00315E2C" w:rsidRDefault="00315E2C" w:rsidP="00552A0F">
            <w:pPr>
              <w:pStyle w:val="FSTableText"/>
            </w:pPr>
          </w:p>
        </w:tc>
      </w:tr>
      <w:tr w:rsidR="00315E2C" w14:paraId="02B481B0" w14:textId="77777777" w:rsidTr="00552A0F">
        <w:tc>
          <w:tcPr>
            <w:tcW w:w="2706" w:type="dxa"/>
            <w:shd w:val="clear" w:color="auto" w:fill="D9D9D9" w:themeFill="background1" w:themeFillShade="D9"/>
          </w:tcPr>
          <w:p w14:paraId="54729547" w14:textId="20910E78" w:rsidR="00315E2C" w:rsidRDefault="00315E2C" w:rsidP="00552A0F">
            <w:pPr>
              <w:pStyle w:val="FSTableText"/>
            </w:pPr>
            <w:r>
              <w:t>edamame</w:t>
            </w:r>
          </w:p>
        </w:tc>
        <w:tc>
          <w:tcPr>
            <w:tcW w:w="3247" w:type="dxa"/>
            <w:shd w:val="clear" w:color="auto" w:fill="D9D9D9" w:themeFill="background1" w:themeFillShade="D9"/>
          </w:tcPr>
          <w:p w14:paraId="4AD5AF57" w14:textId="77777777" w:rsidR="00315E2C" w:rsidRDefault="00315E2C" w:rsidP="00552A0F">
            <w:pPr>
              <w:pStyle w:val="FSTableText"/>
            </w:pPr>
          </w:p>
        </w:tc>
      </w:tr>
    </w:tbl>
    <w:p w14:paraId="454CBA60" w14:textId="77777777" w:rsidR="00315E2C" w:rsidRPr="0000229C" w:rsidRDefault="00315E2C" w:rsidP="00F535E4"/>
    <w:p w14:paraId="2A2FB1BB" w14:textId="77777777" w:rsidR="005A3BE7" w:rsidRPr="001550F1" w:rsidRDefault="005A3BE7" w:rsidP="008928DE">
      <w:pPr>
        <w:pStyle w:val="Heading2"/>
      </w:pPr>
      <w:bookmarkStart w:id="56" w:name="_Toc482255804"/>
      <w:bookmarkStart w:id="57" w:name="_Toc496169770"/>
      <w:bookmarkStart w:id="58" w:name="_Toc500321331"/>
      <w:bookmarkStart w:id="59" w:name="_Toc34830886"/>
      <w:r w:rsidRPr="001550F1">
        <w:t>2.2</w:t>
      </w:r>
      <w:r>
        <w:tab/>
      </w:r>
      <w:r w:rsidRPr="001550F1">
        <w:t>Donor organisms</w:t>
      </w:r>
      <w:bookmarkEnd w:id="56"/>
      <w:bookmarkEnd w:id="57"/>
      <w:bookmarkEnd w:id="58"/>
      <w:bookmarkEnd w:id="59"/>
    </w:p>
    <w:p w14:paraId="02C21D57" w14:textId="39F2264D" w:rsidR="005A3BE7" w:rsidRPr="00EC1113" w:rsidRDefault="005A3BE7" w:rsidP="00221257">
      <w:pPr>
        <w:pStyle w:val="Heading3"/>
      </w:pPr>
      <w:bookmarkStart w:id="60" w:name="_2.2.1__Bacteria"/>
      <w:bookmarkStart w:id="61" w:name="_Toc454886833"/>
      <w:bookmarkStart w:id="62" w:name="_Toc482255805"/>
      <w:bookmarkStart w:id="63" w:name="_Toc489531017"/>
      <w:bookmarkStart w:id="64" w:name="_Toc491439818"/>
      <w:bookmarkStart w:id="65" w:name="_Toc493515848"/>
      <w:bookmarkStart w:id="66" w:name="_Toc495489318"/>
      <w:bookmarkStart w:id="67" w:name="_Toc496169771"/>
      <w:bookmarkStart w:id="68" w:name="_Toc497988131"/>
      <w:bookmarkStart w:id="69" w:name="_Toc499025614"/>
      <w:bookmarkStart w:id="70" w:name="_Toc499210279"/>
      <w:bookmarkStart w:id="71" w:name="_Toc499893669"/>
      <w:bookmarkStart w:id="72" w:name="_Toc500321332"/>
      <w:bookmarkEnd w:id="60"/>
      <w:r w:rsidRPr="00EC1113">
        <w:t xml:space="preserve">2.2.1 </w:t>
      </w:r>
      <w:r w:rsidRPr="00EC1113">
        <w:tab/>
      </w:r>
      <w:bookmarkEnd w:id="61"/>
      <w:bookmarkEnd w:id="62"/>
      <w:bookmarkEnd w:id="63"/>
      <w:bookmarkEnd w:id="64"/>
      <w:bookmarkEnd w:id="65"/>
      <w:bookmarkEnd w:id="66"/>
      <w:bookmarkEnd w:id="67"/>
      <w:bookmarkEnd w:id="68"/>
      <w:bookmarkEnd w:id="69"/>
      <w:bookmarkEnd w:id="70"/>
      <w:bookmarkEnd w:id="71"/>
      <w:bookmarkEnd w:id="72"/>
      <w:r>
        <w:t>Bacteria</w:t>
      </w:r>
    </w:p>
    <w:p w14:paraId="6BEC543E" w14:textId="14C58807" w:rsidR="005A3BE7" w:rsidRDefault="005A3BE7" w:rsidP="005A3BE7">
      <w:pPr>
        <w:rPr>
          <w:color w:val="000000" w:themeColor="text1"/>
        </w:rPr>
      </w:pPr>
      <w:r w:rsidRPr="001550F1">
        <w:rPr>
          <w:color w:val="000000" w:themeColor="text1"/>
        </w:rPr>
        <w:t>The DNA sequ</w:t>
      </w:r>
      <w:r>
        <w:rPr>
          <w:color w:val="000000" w:themeColor="text1"/>
        </w:rPr>
        <w:t xml:space="preserve">ence encoding </w:t>
      </w:r>
      <w:r w:rsidR="0058434F">
        <w:rPr>
          <w:color w:val="000000" w:themeColor="text1"/>
        </w:rPr>
        <w:t>Cry14</w:t>
      </w:r>
      <w:r w:rsidR="004C6265">
        <w:rPr>
          <w:color w:val="000000" w:themeColor="text1"/>
        </w:rPr>
        <w:t>Ab1 was originally isolate</w:t>
      </w:r>
      <w:r w:rsidR="008D5373">
        <w:rPr>
          <w:color w:val="000000" w:themeColor="text1"/>
        </w:rPr>
        <w:t>d</w:t>
      </w:r>
      <w:r w:rsidR="004C6265">
        <w:rPr>
          <w:color w:val="000000" w:themeColor="text1"/>
        </w:rPr>
        <w:t xml:space="preserve"> from </w:t>
      </w:r>
      <w:r w:rsidR="004C6265" w:rsidRPr="004C6265">
        <w:rPr>
          <w:i/>
          <w:color w:val="000000" w:themeColor="text1"/>
        </w:rPr>
        <w:t>Bacillus thuringiensis</w:t>
      </w:r>
      <w:r w:rsidR="004C6265">
        <w:rPr>
          <w:color w:val="000000" w:themeColor="text1"/>
        </w:rPr>
        <w:t xml:space="preserve"> strain ARP001</w:t>
      </w:r>
      <w:r>
        <w:rPr>
          <w:color w:val="000000" w:themeColor="text1"/>
        </w:rPr>
        <w:t xml:space="preserve"> (</w:t>
      </w:r>
      <w:r w:rsidR="004C6265">
        <w:rPr>
          <w:color w:val="000000" w:themeColor="text1"/>
        </w:rPr>
        <w:t>Sampson et al. 2012</w:t>
      </w:r>
      <w:r>
        <w:rPr>
          <w:color w:val="000000" w:themeColor="text1"/>
        </w:rPr>
        <w:t xml:space="preserve">). </w:t>
      </w:r>
      <w:r w:rsidRPr="001C299A">
        <w:rPr>
          <w:i/>
          <w:color w:val="000000" w:themeColor="text1"/>
        </w:rPr>
        <w:t>B. thuringiensis</w:t>
      </w:r>
      <w:r>
        <w:rPr>
          <w:color w:val="000000" w:themeColor="text1"/>
        </w:rPr>
        <w:t xml:space="preserve"> is not considered pathogenic to humans (WHO 1999; Raymond and Federici, 2017) although some strains have been co-isolated from foods associated with causing diarrhoea and an inciden</w:t>
      </w:r>
      <w:r w:rsidR="00017023">
        <w:rPr>
          <w:color w:val="000000" w:themeColor="text1"/>
        </w:rPr>
        <w:t>t</w:t>
      </w:r>
      <w:r>
        <w:rPr>
          <w:color w:val="000000" w:themeColor="text1"/>
        </w:rPr>
        <w:t xml:space="preserve"> has been reported of </w:t>
      </w:r>
      <w:r w:rsidRPr="001C299A">
        <w:rPr>
          <w:i/>
          <w:color w:val="000000" w:themeColor="text1"/>
        </w:rPr>
        <w:t>B. thuringiensis</w:t>
      </w:r>
      <w:r>
        <w:rPr>
          <w:color w:val="000000" w:themeColor="text1"/>
        </w:rPr>
        <w:t xml:space="preserve"> being isolated from a corneal ulcer, after use of a </w:t>
      </w:r>
      <w:r w:rsidRPr="001C299A">
        <w:rPr>
          <w:i/>
          <w:color w:val="000000" w:themeColor="text1"/>
        </w:rPr>
        <w:t>B. thuringiensis</w:t>
      </w:r>
      <w:r>
        <w:rPr>
          <w:color w:val="000000" w:themeColor="text1"/>
        </w:rPr>
        <w:t xml:space="preserve"> pesticide product (Samples and Buettner, 1983).</w:t>
      </w:r>
    </w:p>
    <w:p w14:paraId="6468ACDC" w14:textId="77777777" w:rsidR="005A3BE7" w:rsidRDefault="005A3BE7" w:rsidP="005A3BE7">
      <w:pPr>
        <w:rPr>
          <w:color w:val="000000" w:themeColor="text1"/>
        </w:rPr>
      </w:pPr>
    </w:p>
    <w:p w14:paraId="1BB1F2E2" w14:textId="35B2922B" w:rsidR="005A3BE7" w:rsidRPr="005A3BE7" w:rsidRDefault="005A3BE7" w:rsidP="00690206">
      <w:pPr>
        <w:rPr>
          <w:color w:val="000000" w:themeColor="text1"/>
        </w:rPr>
      </w:pPr>
      <w:r>
        <w:rPr>
          <w:color w:val="000000" w:themeColor="text1"/>
        </w:rPr>
        <w:t xml:space="preserve">The presence of </w:t>
      </w:r>
      <w:r w:rsidRPr="00A1752B">
        <w:rPr>
          <w:i/>
          <w:color w:val="000000" w:themeColor="text1"/>
        </w:rPr>
        <w:t>B.</w:t>
      </w:r>
      <w:r>
        <w:rPr>
          <w:i/>
          <w:color w:val="000000" w:themeColor="text1"/>
        </w:rPr>
        <w:t> </w:t>
      </w:r>
      <w:r w:rsidRPr="00A1752B">
        <w:rPr>
          <w:i/>
          <w:color w:val="000000" w:themeColor="text1"/>
        </w:rPr>
        <w:t>thuringiensis</w:t>
      </w:r>
      <w:r w:rsidRPr="00B579F4">
        <w:rPr>
          <w:color w:val="000000" w:themeColor="text1"/>
        </w:rPr>
        <w:t xml:space="preserve"> </w:t>
      </w:r>
      <w:r>
        <w:rPr>
          <w:color w:val="000000" w:themeColor="text1"/>
        </w:rPr>
        <w:t>in foods is</w:t>
      </w:r>
      <w:r w:rsidRPr="00B579F4">
        <w:rPr>
          <w:color w:val="000000" w:themeColor="text1"/>
        </w:rPr>
        <w:t xml:space="preserve"> not</w:t>
      </w:r>
      <w:r>
        <w:rPr>
          <w:color w:val="000000" w:themeColor="text1"/>
        </w:rPr>
        <w:t xml:space="preserve"> considered unusual considering these bacteria are ubiquitous in the environment. Specific strains of these bacteria have been utilised as commercial microbial insecticides in agriculture and forestry since 1938 in France and 1961 in the US</w:t>
      </w:r>
      <w:r w:rsidR="00017023">
        <w:rPr>
          <w:color w:val="000000" w:themeColor="text1"/>
        </w:rPr>
        <w:t>, indicating</w:t>
      </w:r>
      <w:r>
        <w:rPr>
          <w:color w:val="000000" w:themeColor="text1"/>
        </w:rPr>
        <w:t xml:space="preserve"> this organism has a long history of safe use (Nexter et al</w:t>
      </w:r>
      <w:r w:rsidR="00482D46">
        <w:rPr>
          <w:color w:val="000000" w:themeColor="text1"/>
        </w:rPr>
        <w:t>.</w:t>
      </w:r>
      <w:r>
        <w:rPr>
          <w:color w:val="000000" w:themeColor="text1"/>
        </w:rPr>
        <w:t xml:space="preserve"> 2002; CERA 2011). Since 2010, there have been approximately 180 biopesticide products registered in the US and also in China, 120 regi</w:t>
      </w:r>
      <w:r w:rsidR="00F001FF">
        <w:rPr>
          <w:color w:val="000000" w:themeColor="text1"/>
        </w:rPr>
        <w:t>stered in the European Union, 44</w:t>
      </w:r>
      <w:r>
        <w:rPr>
          <w:color w:val="000000" w:themeColor="text1"/>
        </w:rPr>
        <w:t xml:space="preserve"> in Australia and 13 in New Zealand, with high usage in forestry and the organic </w:t>
      </w:r>
      <w:r w:rsidR="00482D46">
        <w:rPr>
          <w:color w:val="000000" w:themeColor="text1"/>
        </w:rPr>
        <w:t>farming industry (Kabaluk et al.</w:t>
      </w:r>
      <w:r>
        <w:rPr>
          <w:color w:val="000000" w:themeColor="text1"/>
        </w:rPr>
        <w:t xml:space="preserve"> 2010; APVMA 20</w:t>
      </w:r>
      <w:r w:rsidR="00F001FF">
        <w:rPr>
          <w:color w:val="000000" w:themeColor="text1"/>
        </w:rPr>
        <w:t>20</w:t>
      </w:r>
      <w:r>
        <w:rPr>
          <w:color w:val="000000" w:themeColor="text1"/>
        </w:rPr>
        <w:t>). The strains used in agricultural biopesticide preparations are unlikely to be the cause of foodborne diarrhoea, since they have been shown to not produce enterotoxins (Cho et al</w:t>
      </w:r>
      <w:r w:rsidR="00482D46">
        <w:rPr>
          <w:color w:val="000000" w:themeColor="text1"/>
        </w:rPr>
        <w:t>.</w:t>
      </w:r>
      <w:r>
        <w:rPr>
          <w:color w:val="000000" w:themeColor="text1"/>
        </w:rPr>
        <w:t xml:space="preserve"> 2015). In foods associated with diarrhoea, the </w:t>
      </w:r>
      <w:r w:rsidRPr="00A1752B">
        <w:rPr>
          <w:i/>
          <w:color w:val="000000" w:themeColor="text1"/>
        </w:rPr>
        <w:t>B.</w:t>
      </w:r>
      <w:r>
        <w:rPr>
          <w:i/>
          <w:color w:val="000000" w:themeColor="text1"/>
        </w:rPr>
        <w:t> </w:t>
      </w:r>
      <w:r w:rsidRPr="00A1752B">
        <w:rPr>
          <w:i/>
          <w:color w:val="000000" w:themeColor="text1"/>
        </w:rPr>
        <w:t>thuringiensis</w:t>
      </w:r>
      <w:r>
        <w:rPr>
          <w:color w:val="000000" w:themeColor="text1"/>
        </w:rPr>
        <w:t xml:space="preserve"> bacteria were co-isolated with </w:t>
      </w:r>
      <w:r w:rsidRPr="00D16F5C">
        <w:rPr>
          <w:i/>
          <w:color w:val="000000" w:themeColor="text1"/>
        </w:rPr>
        <w:t>B. cereus</w:t>
      </w:r>
      <w:r>
        <w:rPr>
          <w:color w:val="000000" w:themeColor="text1"/>
        </w:rPr>
        <w:t xml:space="preserve"> strains, of which both were shown to contain genes for enterotoxins.</w:t>
      </w:r>
      <w:r w:rsidRPr="008B76EB">
        <w:rPr>
          <w:color w:val="000000" w:themeColor="text1"/>
        </w:rPr>
        <w:t xml:space="preserve"> </w:t>
      </w:r>
    </w:p>
    <w:p w14:paraId="3C8DA0FF" w14:textId="77777777" w:rsidR="005A3BE7" w:rsidRDefault="005A3BE7" w:rsidP="00690206">
      <w:pPr>
        <w:rPr>
          <w:color w:val="000000" w:themeColor="text1"/>
        </w:rPr>
      </w:pPr>
    </w:p>
    <w:p w14:paraId="5EE421B9" w14:textId="07B62FBF" w:rsidR="005A3BE7" w:rsidRPr="005A3BE7" w:rsidRDefault="005A3BE7" w:rsidP="00690206">
      <w:pPr>
        <w:rPr>
          <w:color w:val="000000" w:themeColor="text1"/>
        </w:rPr>
      </w:pPr>
      <w:r w:rsidRPr="001550F1">
        <w:rPr>
          <w:color w:val="000000" w:themeColor="text1"/>
        </w:rPr>
        <w:t xml:space="preserve">The </w:t>
      </w:r>
      <w:r>
        <w:rPr>
          <w:color w:val="000000" w:themeColor="text1"/>
        </w:rPr>
        <w:t xml:space="preserve">DNA sequence that encodes the HPPD enzyme was initially isolated from </w:t>
      </w:r>
      <w:r w:rsidRPr="00C4652E">
        <w:rPr>
          <w:i/>
          <w:color w:val="000000" w:themeColor="text1"/>
        </w:rPr>
        <w:t>P</w:t>
      </w:r>
      <w:r w:rsidR="00825901">
        <w:rPr>
          <w:i/>
          <w:color w:val="000000" w:themeColor="text1"/>
        </w:rPr>
        <w:t>.</w:t>
      </w:r>
      <w:r w:rsidRPr="00C4652E">
        <w:rPr>
          <w:i/>
          <w:color w:val="000000" w:themeColor="text1"/>
        </w:rPr>
        <w:t xml:space="preserve"> fluorescens</w:t>
      </w:r>
      <w:r w:rsidRPr="00C4652E">
        <w:rPr>
          <w:color w:val="000000" w:themeColor="text1"/>
        </w:rPr>
        <w:t xml:space="preserve"> strain A32</w:t>
      </w:r>
      <w:r>
        <w:rPr>
          <w:color w:val="000000" w:themeColor="text1"/>
        </w:rPr>
        <w:t xml:space="preserve"> (Sailland et al</w:t>
      </w:r>
      <w:r w:rsidR="00482D46">
        <w:rPr>
          <w:color w:val="000000" w:themeColor="text1"/>
        </w:rPr>
        <w:t>.</w:t>
      </w:r>
      <w:r>
        <w:rPr>
          <w:color w:val="000000" w:themeColor="text1"/>
        </w:rPr>
        <w:t xml:space="preserve"> 2001</w:t>
      </w:r>
      <w:r w:rsidRPr="00C4652E">
        <w:rPr>
          <w:color w:val="000000" w:themeColor="text1"/>
        </w:rPr>
        <w:t>)</w:t>
      </w:r>
      <w:r>
        <w:rPr>
          <w:color w:val="000000" w:themeColor="text1"/>
        </w:rPr>
        <w:t xml:space="preserve">. This organism is considered a non-pathogenic, asporogenous saprophyte found in soil, water and on plant surface environments. This organism is generally considered non-pathogenic to humans because it has limited growth at body temperature but has been associated with opportunistic infections in immunocompromised patients or after infusion of contaminated whole blood </w:t>
      </w:r>
      <w:r w:rsidR="00482D46">
        <w:rPr>
          <w:color w:val="000000" w:themeColor="text1"/>
        </w:rPr>
        <w:t>or blood products (Scales et al.</w:t>
      </w:r>
      <w:r>
        <w:rPr>
          <w:color w:val="000000" w:themeColor="text1"/>
        </w:rPr>
        <w:t xml:space="preserve"> 2014).</w:t>
      </w:r>
    </w:p>
    <w:p w14:paraId="054720C7" w14:textId="0416DBD5" w:rsidR="005A3BE7" w:rsidRDefault="005A3BE7" w:rsidP="00221257">
      <w:pPr>
        <w:pStyle w:val="Heading3"/>
      </w:pPr>
      <w:bookmarkStart w:id="73" w:name="_Toc489531019"/>
      <w:bookmarkStart w:id="74" w:name="_Toc491439820"/>
      <w:bookmarkStart w:id="75" w:name="_Toc493515850"/>
      <w:bookmarkStart w:id="76" w:name="_Toc495489320"/>
      <w:bookmarkStart w:id="77" w:name="_Toc496169773"/>
      <w:r w:rsidRPr="00EC1113">
        <w:t>2.2.</w:t>
      </w:r>
      <w:r>
        <w:t>2</w:t>
      </w:r>
      <w:r w:rsidRPr="00EC1113">
        <w:t xml:space="preserve"> </w:t>
      </w:r>
      <w:r w:rsidRPr="00EC1113">
        <w:tab/>
      </w:r>
      <w:bookmarkEnd w:id="73"/>
      <w:bookmarkEnd w:id="74"/>
      <w:bookmarkEnd w:id="75"/>
      <w:bookmarkEnd w:id="76"/>
      <w:bookmarkEnd w:id="77"/>
      <w:r w:rsidRPr="005A3BE7">
        <w:t>Plant</w:t>
      </w:r>
    </w:p>
    <w:p w14:paraId="14C12386" w14:textId="51866D9B" w:rsidR="005A3BE7" w:rsidRDefault="0078584E" w:rsidP="005A3BE7">
      <w:pPr>
        <w:rPr>
          <w:color w:val="000000" w:themeColor="text1"/>
        </w:rPr>
      </w:pPr>
      <w:r w:rsidRPr="00967D6F">
        <w:rPr>
          <w:rFonts w:cs="Arial"/>
          <w:color w:val="000000" w:themeColor="text1"/>
          <w:szCs w:val="22"/>
        </w:rPr>
        <w:t xml:space="preserve">Genetic elements from several </w:t>
      </w:r>
      <w:r>
        <w:rPr>
          <w:rFonts w:cs="Arial"/>
          <w:color w:val="000000" w:themeColor="text1"/>
          <w:szCs w:val="22"/>
        </w:rPr>
        <w:t>plant species</w:t>
      </w:r>
      <w:r w:rsidRPr="00967D6F">
        <w:rPr>
          <w:rFonts w:cs="Arial"/>
          <w:color w:val="000000" w:themeColor="text1"/>
          <w:szCs w:val="22"/>
        </w:rPr>
        <w:t xml:space="preserve"> have been used in the genetic modification of </w:t>
      </w:r>
      <w:r w:rsidRPr="00A80AC2">
        <w:t>GMB151</w:t>
      </w:r>
      <w:r w:rsidRPr="00967D6F">
        <w:rPr>
          <w:rFonts w:cs="Arial"/>
          <w:color w:val="000000" w:themeColor="text1"/>
          <w:szCs w:val="22"/>
        </w:rPr>
        <w:t xml:space="preserve"> (refer to Table 1)</w:t>
      </w:r>
      <w:r>
        <w:rPr>
          <w:rFonts w:cs="Arial"/>
          <w:color w:val="000000" w:themeColor="text1"/>
          <w:szCs w:val="22"/>
        </w:rPr>
        <w:t xml:space="preserve">. </w:t>
      </w:r>
      <w:r w:rsidR="005A3BE7" w:rsidRPr="00FB18E6">
        <w:rPr>
          <w:i/>
          <w:color w:val="000000" w:themeColor="text1"/>
        </w:rPr>
        <w:t>A</w:t>
      </w:r>
      <w:r w:rsidR="005A3BE7">
        <w:rPr>
          <w:i/>
          <w:color w:val="000000" w:themeColor="text1"/>
        </w:rPr>
        <w:t>rabidopsis</w:t>
      </w:r>
      <w:r w:rsidR="005A3BE7" w:rsidRPr="00FB18E6">
        <w:rPr>
          <w:i/>
          <w:color w:val="000000" w:themeColor="text1"/>
        </w:rPr>
        <w:t xml:space="preserve"> </w:t>
      </w:r>
      <w:r w:rsidR="005A3BE7">
        <w:rPr>
          <w:i/>
          <w:color w:val="000000" w:themeColor="text1"/>
        </w:rPr>
        <w:t>t</w:t>
      </w:r>
      <w:r w:rsidR="005A3BE7" w:rsidRPr="00FB18E6">
        <w:rPr>
          <w:i/>
          <w:color w:val="000000" w:themeColor="text1"/>
        </w:rPr>
        <w:t>haliana</w:t>
      </w:r>
      <w:r w:rsidR="005A3BE7">
        <w:rPr>
          <w:color w:val="000000" w:themeColor="text1"/>
        </w:rPr>
        <w:t xml:space="preserve"> is a member of the mustard family (</w:t>
      </w:r>
      <w:r w:rsidR="005A3BE7" w:rsidRPr="00FB18E6">
        <w:rPr>
          <w:i/>
          <w:color w:val="000000" w:themeColor="text1"/>
        </w:rPr>
        <w:t>Brassicaceae</w:t>
      </w:r>
      <w:r w:rsidR="005A3BE7">
        <w:rPr>
          <w:color w:val="000000" w:themeColor="text1"/>
        </w:rPr>
        <w:t xml:space="preserve">), which also includes cabbage, turnip and rapeseed, and is commonly known as mouse-ear or thale cress. Although this plant is not traditionally used as food, it is ubiquitous in the environment and is not known to be pathogenic, toxigenic or allergenic to humans. </w:t>
      </w:r>
    </w:p>
    <w:p w14:paraId="754184CD" w14:textId="77777777" w:rsidR="005A3BE7" w:rsidRDefault="005A3BE7" w:rsidP="005A3BE7">
      <w:pPr>
        <w:rPr>
          <w:color w:val="000000" w:themeColor="text1"/>
        </w:rPr>
      </w:pPr>
    </w:p>
    <w:p w14:paraId="55183CD4" w14:textId="19172C6C" w:rsidR="005A3BE7" w:rsidRDefault="005A3BE7" w:rsidP="005A3BE7">
      <w:pPr>
        <w:rPr>
          <w:color w:val="000000" w:themeColor="text1"/>
        </w:rPr>
      </w:pPr>
      <w:r w:rsidRPr="005A3BE7">
        <w:rPr>
          <w:i/>
          <w:color w:val="000000" w:themeColor="text1"/>
        </w:rPr>
        <w:t>Helianthus annuus</w:t>
      </w:r>
      <w:r>
        <w:rPr>
          <w:color w:val="000000" w:themeColor="text1"/>
        </w:rPr>
        <w:t xml:space="preserve"> (sunflower) </w:t>
      </w:r>
      <w:r w:rsidR="0078584E">
        <w:rPr>
          <w:color w:val="000000" w:themeColor="text1"/>
        </w:rPr>
        <w:t>is a member of the flowering plant family (</w:t>
      </w:r>
      <w:r w:rsidR="0078584E" w:rsidRPr="0078584E">
        <w:rPr>
          <w:i/>
          <w:color w:val="000000" w:themeColor="text1"/>
        </w:rPr>
        <w:t>Asteraceae</w:t>
      </w:r>
      <w:r w:rsidR="0078584E">
        <w:rPr>
          <w:color w:val="000000" w:themeColor="text1"/>
        </w:rPr>
        <w:t xml:space="preserve">). Sunflower seeds as whole seeds, oil or protein-rich flour has been consumed for centuries (OECD 2004) demonstrating </w:t>
      </w:r>
      <w:r>
        <w:rPr>
          <w:color w:val="000000" w:themeColor="text1"/>
        </w:rPr>
        <w:t xml:space="preserve">a long history of safe </w:t>
      </w:r>
      <w:r w:rsidR="0078584E">
        <w:rPr>
          <w:color w:val="000000" w:themeColor="text1"/>
        </w:rPr>
        <w:t xml:space="preserve">food </w:t>
      </w:r>
      <w:r>
        <w:rPr>
          <w:color w:val="000000" w:themeColor="text1"/>
        </w:rPr>
        <w:t xml:space="preserve">use. The seeds do not contain significant amounts of </w:t>
      </w:r>
      <w:r w:rsidR="0058434F">
        <w:rPr>
          <w:color w:val="000000" w:themeColor="text1"/>
        </w:rPr>
        <w:t>anti-nutrients or toxins</w:t>
      </w:r>
      <w:r w:rsidR="0078584E">
        <w:rPr>
          <w:color w:val="000000" w:themeColor="text1"/>
        </w:rPr>
        <w:t xml:space="preserve"> and the genetic elements isolated from sunflower a</w:t>
      </w:r>
      <w:r w:rsidR="009C059B">
        <w:rPr>
          <w:color w:val="000000" w:themeColor="text1"/>
        </w:rPr>
        <w:t>re</w:t>
      </w:r>
      <w:r w:rsidR="0078584E">
        <w:rPr>
          <w:color w:val="000000" w:themeColor="text1"/>
        </w:rPr>
        <w:t xml:space="preserve"> not related to the known anti</w:t>
      </w:r>
      <w:r w:rsidR="00736586">
        <w:rPr>
          <w:color w:val="000000" w:themeColor="text1"/>
        </w:rPr>
        <w:t>-</w:t>
      </w:r>
      <w:r w:rsidR="0078584E">
        <w:rPr>
          <w:color w:val="000000" w:themeColor="text1"/>
        </w:rPr>
        <w:t>nutrients.</w:t>
      </w:r>
    </w:p>
    <w:p w14:paraId="736F1B57" w14:textId="4F5EDF0F" w:rsidR="0058434F" w:rsidRDefault="0058434F" w:rsidP="005A3BE7">
      <w:pPr>
        <w:rPr>
          <w:color w:val="000000" w:themeColor="text1"/>
        </w:rPr>
      </w:pPr>
    </w:p>
    <w:p w14:paraId="05A0165F" w14:textId="192DD264" w:rsidR="0058434F" w:rsidRDefault="0058434F" w:rsidP="005A3BE7">
      <w:pPr>
        <w:rPr>
          <w:color w:val="000000" w:themeColor="text1"/>
        </w:rPr>
      </w:pPr>
      <w:r w:rsidRPr="00967EFD">
        <w:rPr>
          <w:i/>
          <w:color w:val="000000" w:themeColor="text1"/>
        </w:rPr>
        <w:t xml:space="preserve">Zea </w:t>
      </w:r>
      <w:r w:rsidR="00967EFD" w:rsidRPr="00967EFD">
        <w:rPr>
          <w:i/>
          <w:color w:val="000000" w:themeColor="text1"/>
        </w:rPr>
        <w:t>mays</w:t>
      </w:r>
      <w:r w:rsidR="00967EFD">
        <w:rPr>
          <w:color w:val="000000" w:themeColor="text1"/>
        </w:rPr>
        <w:t xml:space="preserve"> (corn/maize) is a member of the grass family (</w:t>
      </w:r>
      <w:r w:rsidR="00967EFD" w:rsidRPr="0078584E">
        <w:rPr>
          <w:i/>
          <w:color w:val="000000" w:themeColor="text1"/>
        </w:rPr>
        <w:t>Poaceae</w:t>
      </w:r>
      <w:r w:rsidR="00967EFD">
        <w:rPr>
          <w:color w:val="000000" w:themeColor="text1"/>
        </w:rPr>
        <w:t xml:space="preserve">). This plant has a very long history of </w:t>
      </w:r>
      <w:r w:rsidR="007A383E">
        <w:rPr>
          <w:color w:val="000000" w:themeColor="text1"/>
        </w:rPr>
        <w:t xml:space="preserve">safe </w:t>
      </w:r>
      <w:r w:rsidR="00EB75BC">
        <w:rPr>
          <w:color w:val="000000" w:themeColor="text1"/>
        </w:rPr>
        <w:t xml:space="preserve">food </w:t>
      </w:r>
      <w:r w:rsidR="00967EFD">
        <w:rPr>
          <w:color w:val="000000" w:themeColor="text1"/>
        </w:rPr>
        <w:t>use, with evidence suggesting domestication about 6000</w:t>
      </w:r>
      <w:r w:rsidR="00EB75BC">
        <w:rPr>
          <w:color w:val="000000" w:themeColor="text1"/>
        </w:rPr>
        <w:t>-8000</w:t>
      </w:r>
      <w:r w:rsidR="00967EFD">
        <w:rPr>
          <w:color w:val="000000" w:themeColor="text1"/>
        </w:rPr>
        <w:t xml:space="preserve"> years ago in the Mexican highlands (</w:t>
      </w:r>
      <w:r w:rsidR="00EB75BC" w:rsidRPr="00C90674">
        <w:rPr>
          <w:color w:val="000000" w:themeColor="text1"/>
        </w:rPr>
        <w:t xml:space="preserve">OECD 2002; </w:t>
      </w:r>
      <w:r w:rsidR="00967EFD" w:rsidRPr="00C90674">
        <w:rPr>
          <w:color w:val="000000" w:themeColor="text1"/>
        </w:rPr>
        <w:t>OGTR 2008</w:t>
      </w:r>
      <w:r w:rsidR="00967EFD">
        <w:rPr>
          <w:color w:val="000000" w:themeColor="text1"/>
        </w:rPr>
        <w:t>).</w:t>
      </w:r>
      <w:r w:rsidR="007A383E">
        <w:rPr>
          <w:color w:val="000000" w:themeColor="text1"/>
        </w:rPr>
        <w:t xml:space="preserve"> </w:t>
      </w:r>
      <w:r w:rsidR="00DA3910">
        <w:rPr>
          <w:color w:val="000000" w:themeColor="text1"/>
        </w:rPr>
        <w:t>Although c</w:t>
      </w:r>
      <w:r w:rsidR="007A383E">
        <w:rPr>
          <w:color w:val="000000" w:themeColor="text1"/>
        </w:rPr>
        <w:t xml:space="preserve">orn does have </w:t>
      </w:r>
      <w:r w:rsidR="00736586">
        <w:rPr>
          <w:color w:val="000000" w:themeColor="text1"/>
        </w:rPr>
        <w:t>known anti-nutrients and allergens</w:t>
      </w:r>
      <w:r w:rsidR="00F25384">
        <w:rPr>
          <w:color w:val="000000" w:themeColor="text1"/>
        </w:rPr>
        <w:t>,</w:t>
      </w:r>
      <w:r w:rsidR="00736586">
        <w:rPr>
          <w:color w:val="000000" w:themeColor="text1"/>
        </w:rPr>
        <w:t xml:space="preserve"> the genetic elements isolated from the corn genome are not related to the known anti-nutrients or allergenic compounds.</w:t>
      </w:r>
    </w:p>
    <w:p w14:paraId="1DE27A5E" w14:textId="5AC05E17" w:rsidR="005A3BE7" w:rsidRDefault="005A3BE7" w:rsidP="00221257">
      <w:pPr>
        <w:pStyle w:val="Heading3"/>
      </w:pPr>
      <w:bookmarkStart w:id="78" w:name="_Toc489531021"/>
      <w:bookmarkStart w:id="79" w:name="_Toc491439822"/>
      <w:bookmarkStart w:id="80" w:name="_Toc493515852"/>
      <w:bookmarkStart w:id="81" w:name="_Toc495489322"/>
      <w:bookmarkStart w:id="82" w:name="_Toc496169775"/>
      <w:r w:rsidRPr="00D53E1B">
        <w:t>2.2.</w:t>
      </w:r>
      <w:r w:rsidR="0058434F">
        <w:t>3</w:t>
      </w:r>
      <w:r>
        <w:t xml:space="preserve"> </w:t>
      </w:r>
      <w:r>
        <w:tab/>
        <w:t>Other organisms</w:t>
      </w:r>
      <w:bookmarkEnd w:id="78"/>
      <w:bookmarkEnd w:id="79"/>
      <w:bookmarkEnd w:id="80"/>
      <w:bookmarkEnd w:id="81"/>
      <w:bookmarkEnd w:id="82"/>
    </w:p>
    <w:p w14:paraId="147D2A77" w14:textId="10B55C34" w:rsidR="005A3BE7" w:rsidRPr="009C4062" w:rsidRDefault="005A3BE7" w:rsidP="005A3BE7">
      <w:pPr>
        <w:rPr>
          <w:color w:val="000000" w:themeColor="text1"/>
        </w:rPr>
      </w:pPr>
      <w:r w:rsidRPr="00967D6F">
        <w:rPr>
          <w:rFonts w:cs="Arial"/>
          <w:color w:val="000000" w:themeColor="text1"/>
          <w:szCs w:val="22"/>
        </w:rPr>
        <w:t xml:space="preserve">Genetic elements from several other organisms have been used in the genetic modification of </w:t>
      </w:r>
      <w:r w:rsidRPr="00A80AC2">
        <w:t>GMB151</w:t>
      </w:r>
      <w:r w:rsidRPr="00967D6F">
        <w:rPr>
          <w:rFonts w:cs="Arial"/>
          <w:color w:val="000000" w:themeColor="text1"/>
          <w:szCs w:val="22"/>
        </w:rPr>
        <w:t xml:space="preserve"> (refer to </w:t>
      </w:r>
      <w:hyperlink w:anchor="Table2" w:history="1">
        <w:r w:rsidRPr="00A52AB9">
          <w:rPr>
            <w:rStyle w:val="Hyperlink"/>
            <w:rFonts w:cs="Arial"/>
            <w:szCs w:val="22"/>
          </w:rPr>
          <w:t xml:space="preserve">Table </w:t>
        </w:r>
        <w:r w:rsidR="00A52AB9" w:rsidRPr="00A52AB9">
          <w:rPr>
            <w:rStyle w:val="Hyperlink"/>
            <w:rFonts w:cs="Arial"/>
            <w:szCs w:val="22"/>
          </w:rPr>
          <w:t>2</w:t>
        </w:r>
      </w:hyperlink>
      <w:r w:rsidRPr="00967D6F">
        <w:rPr>
          <w:rFonts w:cs="Arial"/>
          <w:color w:val="000000" w:themeColor="text1"/>
          <w:szCs w:val="22"/>
        </w:rPr>
        <w:t>). These non-cod</w:t>
      </w:r>
      <w:r>
        <w:rPr>
          <w:rFonts w:cs="Arial"/>
          <w:color w:val="000000" w:themeColor="text1"/>
          <w:szCs w:val="22"/>
        </w:rPr>
        <w:t>ing sequences are used to drive or</w:t>
      </w:r>
      <w:r w:rsidRPr="00967D6F">
        <w:rPr>
          <w:rFonts w:cs="Arial"/>
          <w:color w:val="000000" w:themeColor="text1"/>
          <w:szCs w:val="22"/>
        </w:rPr>
        <w:t xml:space="preserve"> enhance expression of the two </w:t>
      </w:r>
      <w:r>
        <w:rPr>
          <w:rFonts w:cs="Arial"/>
          <w:color w:val="000000" w:themeColor="text1"/>
          <w:szCs w:val="22"/>
        </w:rPr>
        <w:t>new</w:t>
      </w:r>
      <w:r w:rsidRPr="00967D6F">
        <w:rPr>
          <w:rFonts w:cs="Arial"/>
          <w:color w:val="000000" w:themeColor="text1"/>
          <w:szCs w:val="22"/>
        </w:rPr>
        <w:t xml:space="preserve"> genes.</w:t>
      </w:r>
    </w:p>
    <w:p w14:paraId="17ACD935" w14:textId="77777777" w:rsidR="0058434F" w:rsidRPr="00BB5B58" w:rsidRDefault="0058434F" w:rsidP="00221257">
      <w:pPr>
        <w:pStyle w:val="Heading1"/>
        <w:ind w:left="567" w:hanging="567"/>
      </w:pPr>
      <w:bookmarkStart w:id="83" w:name="_Toc496169776"/>
      <w:bookmarkStart w:id="84" w:name="_Toc34830887"/>
      <w:r w:rsidRPr="00BB5B58">
        <w:t>3</w:t>
      </w:r>
      <w:r w:rsidRPr="00BB5B58">
        <w:tab/>
        <w:t>Molecular characterisation</w:t>
      </w:r>
      <w:bookmarkEnd w:id="83"/>
      <w:bookmarkEnd w:id="84"/>
    </w:p>
    <w:p w14:paraId="5D159022" w14:textId="77777777" w:rsidR="0058434F" w:rsidRPr="00B50D82" w:rsidRDefault="0058434F" w:rsidP="0058434F">
      <w:r w:rsidRPr="00B50D82">
        <w:t>Molecular characterisation is necessary to provide an understanding of the genetic material introduced into the host genome and helps to frame the subsequent parts of the safety assessment. The molecular characterisation addresses three main aspects:</w:t>
      </w:r>
    </w:p>
    <w:p w14:paraId="1F4745F0" w14:textId="77777777" w:rsidR="0058434F" w:rsidRPr="00B50D82" w:rsidRDefault="0058434F" w:rsidP="0058434F">
      <w:pPr>
        <w:ind w:left="360"/>
      </w:pPr>
    </w:p>
    <w:p w14:paraId="0C52DD03" w14:textId="77777777" w:rsidR="0058434F" w:rsidRDefault="0058434F" w:rsidP="00682939">
      <w:pPr>
        <w:pStyle w:val="FSBullet1"/>
        <w:numPr>
          <w:ilvl w:val="0"/>
          <w:numId w:val="4"/>
        </w:numPr>
      </w:pPr>
      <w:r w:rsidRPr="00B50D82">
        <w:t>the transformation method together with a detailed description of the DNA sequences introduced to the host genome</w:t>
      </w:r>
    </w:p>
    <w:p w14:paraId="61F560E1" w14:textId="77777777" w:rsidR="0058434F" w:rsidRPr="00B50D82" w:rsidRDefault="0058434F" w:rsidP="00682939">
      <w:pPr>
        <w:pStyle w:val="FSBullet1"/>
        <w:numPr>
          <w:ilvl w:val="0"/>
          <w:numId w:val="4"/>
        </w:numPr>
      </w:pPr>
      <w:r w:rsidRPr="00B50D82">
        <w:t>a characterisation of the inserted DNA</w:t>
      </w:r>
      <w:r>
        <w:t>,</w:t>
      </w:r>
      <w:r w:rsidRPr="00B50D82">
        <w:t xml:space="preserve"> including any rearrangements that may have occurred as a consequence of the transformation</w:t>
      </w:r>
    </w:p>
    <w:p w14:paraId="1D9278B3" w14:textId="69F6AA4D" w:rsidR="0058434F" w:rsidRPr="00B50D82" w:rsidRDefault="0058434F" w:rsidP="00682939">
      <w:pPr>
        <w:pStyle w:val="FSBullet1"/>
        <w:numPr>
          <w:ilvl w:val="0"/>
          <w:numId w:val="4"/>
        </w:numPr>
      </w:pPr>
      <w:r w:rsidRPr="00B50D82">
        <w:t>the genetic stability of the inserted DNA and an</w:t>
      </w:r>
      <w:r>
        <w:t>y accompanying expressed traits</w:t>
      </w:r>
      <w:r w:rsidR="009A4671">
        <w:t>.</w:t>
      </w:r>
    </w:p>
    <w:p w14:paraId="172D2028" w14:textId="77777777" w:rsidR="0058434F" w:rsidRPr="00B50D82" w:rsidRDefault="0058434F" w:rsidP="0058434F"/>
    <w:p w14:paraId="7F5C948C" w14:textId="77777777" w:rsidR="0058434F" w:rsidRDefault="0058434F" w:rsidP="008928DE">
      <w:pPr>
        <w:pStyle w:val="Heading2"/>
        <w:rPr>
          <w:color w:val="000000" w:themeColor="text1"/>
        </w:rPr>
      </w:pPr>
      <w:bookmarkStart w:id="85" w:name="_3.1_Transformation_Method"/>
      <w:bookmarkStart w:id="86" w:name="_Toc496169777"/>
      <w:bookmarkStart w:id="87" w:name="_Toc34830888"/>
      <w:bookmarkStart w:id="88" w:name="Section3_1"/>
      <w:bookmarkEnd w:id="85"/>
      <w:r w:rsidRPr="001550F1">
        <w:t>3.1</w:t>
      </w:r>
      <w:r>
        <w:tab/>
        <w:t>Transformation Method</w:t>
      </w:r>
      <w:bookmarkEnd w:id="86"/>
      <w:bookmarkEnd w:id="87"/>
      <w:r>
        <w:t xml:space="preserve"> </w:t>
      </w:r>
      <w:bookmarkEnd w:id="88"/>
    </w:p>
    <w:p w14:paraId="1DBBCAAE" w14:textId="32019B2F" w:rsidR="0058434F" w:rsidRDefault="0058434F" w:rsidP="0058434F">
      <w:pPr>
        <w:rPr>
          <w:color w:val="000000" w:themeColor="text1"/>
        </w:rPr>
      </w:pPr>
      <w:r>
        <w:rPr>
          <w:color w:val="000000" w:themeColor="text1"/>
        </w:rPr>
        <w:t>In order to create GMB511, plasmid p</w:t>
      </w:r>
      <w:r w:rsidR="00061D6B">
        <w:rPr>
          <w:color w:val="000000" w:themeColor="text1"/>
        </w:rPr>
        <w:t>SZ8832</w:t>
      </w:r>
      <w:r>
        <w:rPr>
          <w:color w:val="000000" w:themeColor="text1"/>
        </w:rPr>
        <w:t xml:space="preserve"> was transformed into the soybean variety Thorne. Plasmid p</w:t>
      </w:r>
      <w:r w:rsidR="00061D6B">
        <w:rPr>
          <w:color w:val="000000" w:themeColor="text1"/>
        </w:rPr>
        <w:t>SZ8832</w:t>
      </w:r>
      <w:r>
        <w:rPr>
          <w:color w:val="000000" w:themeColor="text1"/>
        </w:rPr>
        <w:t xml:space="preserve"> </w:t>
      </w:r>
      <w:r w:rsidRPr="00A57202">
        <w:rPr>
          <w:color w:val="000000" w:themeColor="text1"/>
        </w:rPr>
        <w:t>contains two gene</w:t>
      </w:r>
      <w:r>
        <w:rPr>
          <w:color w:val="000000" w:themeColor="text1"/>
        </w:rPr>
        <w:t xml:space="preserve"> cassettes that encode the </w:t>
      </w:r>
      <w:r w:rsidR="004D504D">
        <w:rPr>
          <w:color w:val="000000" w:themeColor="text1"/>
        </w:rPr>
        <w:t>Cry14Ab1</w:t>
      </w:r>
      <w:r w:rsidR="00B5556B">
        <w:rPr>
          <w:color w:val="000000" w:themeColor="text1"/>
        </w:rPr>
        <w:t xml:space="preserve"> and HPPD-4 proteins</w:t>
      </w:r>
      <w:r>
        <w:rPr>
          <w:color w:val="000000" w:themeColor="text1"/>
        </w:rPr>
        <w:t xml:space="preserve"> (</w:t>
      </w:r>
      <w:hyperlink w:anchor="Figure1" w:history="1">
        <w:r w:rsidRPr="00337305">
          <w:rPr>
            <w:rStyle w:val="Hyperlink"/>
          </w:rPr>
          <w:t>Figure 1</w:t>
        </w:r>
      </w:hyperlink>
      <w:r w:rsidR="00337305">
        <w:rPr>
          <w:color w:val="000000" w:themeColor="text1"/>
        </w:rPr>
        <w:t>).</w:t>
      </w:r>
    </w:p>
    <w:p w14:paraId="5245CDA5" w14:textId="57586FAC" w:rsidR="00B85FD9" w:rsidRDefault="00B85FD9" w:rsidP="0058434F">
      <w:pPr>
        <w:rPr>
          <w:color w:val="000000" w:themeColor="text1"/>
        </w:rPr>
      </w:pPr>
    </w:p>
    <w:p w14:paraId="6BE43D3A" w14:textId="4FF747A2" w:rsidR="0058434F" w:rsidRPr="00B5556B" w:rsidRDefault="00B85FD9" w:rsidP="00B5556B">
      <w:pPr>
        <w:jc w:val="center"/>
        <w:rPr>
          <w:color w:val="000000" w:themeColor="text1"/>
        </w:rPr>
      </w:pPr>
      <w:r>
        <w:rPr>
          <w:noProof/>
          <w:color w:val="000000" w:themeColor="text1"/>
          <w:lang w:eastAsia="en-GB" w:bidi="ar-SA"/>
        </w:rPr>
        <w:drawing>
          <wp:inline distT="0" distB="0" distL="0" distR="0" wp14:anchorId="73A93D9A" wp14:editId="3AB96800">
            <wp:extent cx="3371850" cy="3132198"/>
            <wp:effectExtent l="114300" t="114300" r="114300" b="144780"/>
            <wp:docPr id="4" name="Picture 4" descr="Plasmid map of pSZ8832. The plasmid contains a T-DNA insert region that contains two gene cassettes, running in an anticlockwise direction from the left border (LB) to right border (RB)."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6714" cy="313671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E0DDA20" w14:textId="77777777" w:rsidR="0058434F" w:rsidRDefault="0058434F" w:rsidP="0058434F">
      <w:pPr>
        <w:widowControl/>
        <w:ind w:left="5580"/>
        <w:rPr>
          <w:i/>
        </w:rPr>
      </w:pPr>
    </w:p>
    <w:p w14:paraId="6936D708" w14:textId="695720D2" w:rsidR="0058434F" w:rsidRDefault="0058434F" w:rsidP="0058434F">
      <w:pPr>
        <w:pStyle w:val="FSFigureTitle"/>
      </w:pPr>
      <w:bookmarkStart w:id="89" w:name="Figure1"/>
      <w:r w:rsidRPr="00A84614">
        <w:t>Figure 1</w:t>
      </w:r>
      <w:bookmarkEnd w:id="89"/>
      <w:r w:rsidRPr="00A84614">
        <w:t xml:space="preserve">: Plasmid map of </w:t>
      </w:r>
      <w:r w:rsidR="00061D6B">
        <w:rPr>
          <w:color w:val="000000" w:themeColor="text1"/>
        </w:rPr>
        <w:t>pSZ8832</w:t>
      </w:r>
      <w:r w:rsidRPr="00A84614">
        <w:t>.</w:t>
      </w:r>
      <w:r w:rsidRPr="00A84614">
        <w:rPr>
          <w:b/>
        </w:rPr>
        <w:t xml:space="preserve"> </w:t>
      </w:r>
      <w:r w:rsidRPr="00A84614">
        <w:t xml:space="preserve">The plasmid contains a T-DNA insert region that contains </w:t>
      </w:r>
      <w:r>
        <w:t>two gene cassettes</w:t>
      </w:r>
      <w:r w:rsidR="00B5556B">
        <w:t>,</w:t>
      </w:r>
      <w:r w:rsidRPr="00A84614">
        <w:t xml:space="preserve"> </w:t>
      </w:r>
      <w:r w:rsidR="00A57202">
        <w:t xml:space="preserve">running in an anticlockwise direction from the left border (LB) to right border (RB). </w:t>
      </w:r>
    </w:p>
    <w:p w14:paraId="4E9312DF" w14:textId="6F711B86" w:rsidR="00AE0ABC" w:rsidRDefault="00AE0ABC" w:rsidP="00AE0ABC"/>
    <w:p w14:paraId="6139E3F5" w14:textId="77777777" w:rsidR="00AE0ABC" w:rsidRPr="00AE0ABC" w:rsidRDefault="00AE0ABC" w:rsidP="00AE0ABC"/>
    <w:p w14:paraId="08458B82" w14:textId="3FC6AD6A" w:rsidR="0058434F" w:rsidRPr="00682939" w:rsidRDefault="0058434F" w:rsidP="0058434F">
      <w:r w:rsidRPr="00682939">
        <w:t xml:space="preserve">The transformation method involved infection of </w:t>
      </w:r>
      <w:r w:rsidR="00061D6B" w:rsidRPr="00682939">
        <w:t xml:space="preserve">explants of soybean </w:t>
      </w:r>
      <w:r w:rsidRPr="00682939">
        <w:t xml:space="preserve">with a </w:t>
      </w:r>
      <w:r w:rsidR="00061D6B" w:rsidRPr="00682939">
        <w:t>disarmed</w:t>
      </w:r>
      <w:r w:rsidRPr="00682939">
        <w:t xml:space="preserve"> strain of </w:t>
      </w:r>
      <w:r w:rsidRPr="00682939">
        <w:rPr>
          <w:i/>
        </w:rPr>
        <w:t>Agrobacterium</w:t>
      </w:r>
      <w:r w:rsidRPr="00682939">
        <w:t xml:space="preserve"> </w:t>
      </w:r>
      <w:r w:rsidR="00061D6B" w:rsidRPr="00682939">
        <w:t>LBA4404</w:t>
      </w:r>
      <w:r w:rsidRPr="00682939">
        <w:t xml:space="preserve"> (</w:t>
      </w:r>
      <w:r w:rsidR="00061D6B" w:rsidRPr="00682939">
        <w:t>Hoekema et al. 1983</w:t>
      </w:r>
      <w:r w:rsidRPr="00682939">
        <w:t xml:space="preserve">) containing </w:t>
      </w:r>
      <w:r w:rsidR="00061D6B" w:rsidRPr="00682939">
        <w:t>pSZ8832</w:t>
      </w:r>
      <w:r w:rsidR="006242F0">
        <w:t xml:space="preserve"> and the virulence helper plasmid pAL4404. pAL4404 is used to enhance the transformation process and does not introduce any novel genes into the plant</w:t>
      </w:r>
      <w:r w:rsidR="008D5B65">
        <w:t xml:space="preserve"> tissue</w:t>
      </w:r>
      <w:r w:rsidR="006242F0">
        <w:t xml:space="preserve">. </w:t>
      </w:r>
      <w:r w:rsidR="00682939" w:rsidRPr="00682939">
        <w:t>After infection, the explants</w:t>
      </w:r>
      <w:r w:rsidRPr="00682939">
        <w:t xml:space="preserve"> were grown on media containing </w:t>
      </w:r>
      <w:r w:rsidR="00682939" w:rsidRPr="00682939">
        <w:t>tembotrione</w:t>
      </w:r>
      <w:r w:rsidR="00B85FD9">
        <w:t>, a</w:t>
      </w:r>
      <w:r w:rsidR="00682939">
        <w:t xml:space="preserve"> HPPD inhibitor to select positive transformants</w:t>
      </w:r>
      <w:r w:rsidR="00F25384">
        <w:t>,</w:t>
      </w:r>
      <w:r w:rsidR="00682939" w:rsidRPr="00682939">
        <w:t xml:space="preserve"> and </w:t>
      </w:r>
      <w:r w:rsidRPr="00682939">
        <w:t xml:space="preserve">ticarcillin, </w:t>
      </w:r>
      <w:r w:rsidR="00682939" w:rsidRPr="00682939">
        <w:t>to</w:t>
      </w:r>
      <w:r w:rsidRPr="00682939">
        <w:t xml:space="preserve"> suppress growth of the agrobacterium</w:t>
      </w:r>
      <w:r w:rsidR="00682939" w:rsidRPr="00682939">
        <w:t>.</w:t>
      </w:r>
      <w:r w:rsidRPr="00682939">
        <w:t xml:space="preserve"> </w:t>
      </w:r>
      <w:bookmarkStart w:id="90" w:name="_Toc482255810"/>
      <w:r w:rsidR="008D5B65">
        <w:t xml:space="preserve">Transformed </w:t>
      </w:r>
      <w:r w:rsidR="00BE418D">
        <w:t>tissue</w:t>
      </w:r>
      <w:r w:rsidR="0003767D">
        <w:t xml:space="preserve"> w</w:t>
      </w:r>
      <w:r w:rsidR="00BE418D">
        <w:t>as</w:t>
      </w:r>
      <w:r w:rsidR="0003767D">
        <w:t xml:space="preserve"> </w:t>
      </w:r>
      <w:r w:rsidR="00BE418D">
        <w:t xml:space="preserve">subsequently cultured in </w:t>
      </w:r>
      <w:r w:rsidR="0003767D">
        <w:t>media</w:t>
      </w:r>
      <w:r w:rsidR="00A11EE7">
        <w:t xml:space="preserve"> </w:t>
      </w:r>
      <w:r w:rsidR="00BE418D">
        <w:t xml:space="preserve">to encourage </w:t>
      </w:r>
      <w:r w:rsidR="008D5B65">
        <w:t xml:space="preserve">shoot </w:t>
      </w:r>
      <w:r w:rsidR="00BE418D">
        <w:t>formation</w:t>
      </w:r>
      <w:r w:rsidR="008D5B65">
        <w:t>, follow</w:t>
      </w:r>
      <w:r w:rsidR="00BE418D">
        <w:t xml:space="preserve">ed by growth in rooting medium. Rooted plants </w:t>
      </w:r>
      <w:r w:rsidR="00673B1E">
        <w:t>(T</w:t>
      </w:r>
      <w:r w:rsidR="00673B1E" w:rsidRPr="00673B1E">
        <w:rPr>
          <w:vertAlign w:val="subscript"/>
        </w:rPr>
        <w:t>0</w:t>
      </w:r>
      <w:r w:rsidR="00673B1E">
        <w:t xml:space="preserve">) </w:t>
      </w:r>
      <w:r w:rsidR="00BE418D">
        <w:t xml:space="preserve">were transferred to </w:t>
      </w:r>
      <w:r w:rsidR="00DE792C">
        <w:t xml:space="preserve">soil and allowed to </w:t>
      </w:r>
      <w:r w:rsidR="00673B1E" w:rsidRPr="00673B1E">
        <w:t>self-pollinate</w:t>
      </w:r>
      <w:r w:rsidR="00673B1E">
        <w:t>,</w:t>
      </w:r>
      <w:r w:rsidR="00673B1E" w:rsidRPr="00673B1E">
        <w:t xml:space="preserve"> produc</w:t>
      </w:r>
      <w:r w:rsidR="00673B1E">
        <w:t>ing</w:t>
      </w:r>
      <w:r w:rsidR="00673B1E" w:rsidRPr="00673B1E">
        <w:t xml:space="preserve"> </w:t>
      </w:r>
      <w:r w:rsidR="00673B1E">
        <w:t>T</w:t>
      </w:r>
      <w:r w:rsidR="00673B1E">
        <w:rPr>
          <w:vertAlign w:val="subscript"/>
        </w:rPr>
        <w:t>1</w:t>
      </w:r>
      <w:r w:rsidR="00673B1E" w:rsidRPr="00673B1E">
        <w:t xml:space="preserve"> seed</w:t>
      </w:r>
      <w:r w:rsidR="00673B1E">
        <w:t>.</w:t>
      </w:r>
    </w:p>
    <w:p w14:paraId="6F05B6FE" w14:textId="77777777" w:rsidR="0058434F" w:rsidRPr="00984193" w:rsidRDefault="0058434F" w:rsidP="008928DE">
      <w:pPr>
        <w:pStyle w:val="Heading2"/>
      </w:pPr>
      <w:bookmarkStart w:id="91" w:name="_Toc496169778"/>
      <w:bookmarkStart w:id="92" w:name="_Toc34830889"/>
      <w:r w:rsidRPr="00984193">
        <w:t>3.2</w:t>
      </w:r>
      <w:r>
        <w:tab/>
        <w:t>Detailed description of DNA to be introduced</w:t>
      </w:r>
      <w:bookmarkEnd w:id="90"/>
      <w:bookmarkEnd w:id="91"/>
      <w:bookmarkEnd w:id="92"/>
    </w:p>
    <w:p w14:paraId="701BAA18" w14:textId="0045CE07" w:rsidR="00BE418D" w:rsidRDefault="0058434F" w:rsidP="008D5B65">
      <w:pPr>
        <w:rPr>
          <w:color w:val="000000" w:themeColor="text1"/>
        </w:rPr>
      </w:pPr>
      <w:r w:rsidRPr="00FC4E0C">
        <w:rPr>
          <w:color w:val="000000" w:themeColor="text1"/>
        </w:rPr>
        <w:t xml:space="preserve">The plasmid </w:t>
      </w:r>
      <w:r w:rsidR="008D5B65" w:rsidRPr="00FC4E0C">
        <w:rPr>
          <w:color w:val="000000" w:themeColor="text1"/>
        </w:rPr>
        <w:t>pSZ8832</w:t>
      </w:r>
      <w:r w:rsidRPr="00FC4E0C">
        <w:rPr>
          <w:color w:val="000000" w:themeColor="text1"/>
        </w:rPr>
        <w:t xml:space="preserve"> (</w:t>
      </w:r>
      <w:hyperlink w:anchor="Figure1" w:history="1">
        <w:r w:rsidRPr="00337305">
          <w:rPr>
            <w:rStyle w:val="Hyperlink"/>
          </w:rPr>
          <w:t>Figure 1</w:t>
        </w:r>
      </w:hyperlink>
      <w:r w:rsidRPr="00FC4E0C">
        <w:rPr>
          <w:color w:val="000000" w:themeColor="text1"/>
        </w:rPr>
        <w:t xml:space="preserve">), used to generate </w:t>
      </w:r>
      <w:r w:rsidR="008D5B65" w:rsidRPr="00FC4E0C">
        <w:rPr>
          <w:color w:val="000000" w:themeColor="text1"/>
        </w:rPr>
        <w:t>GMB511</w:t>
      </w:r>
      <w:r w:rsidRPr="00FC4E0C">
        <w:rPr>
          <w:color w:val="000000" w:themeColor="text1"/>
        </w:rPr>
        <w:t xml:space="preserve">, contains two gene cassettes in the T-DNA region. </w:t>
      </w:r>
      <w:r w:rsidR="00BE418D" w:rsidRPr="00FC4E0C">
        <w:rPr>
          <w:color w:val="000000" w:themeColor="text1"/>
        </w:rPr>
        <w:t xml:space="preserve">At the </w:t>
      </w:r>
      <w:r w:rsidR="00BE418D">
        <w:rPr>
          <w:color w:val="000000" w:themeColor="text1"/>
        </w:rPr>
        <w:t>right</w:t>
      </w:r>
      <w:r w:rsidR="00BE418D" w:rsidRPr="00FC4E0C">
        <w:rPr>
          <w:color w:val="000000" w:themeColor="text1"/>
        </w:rPr>
        <w:t xml:space="preserve"> border (</w:t>
      </w:r>
      <w:r w:rsidR="00BE418D">
        <w:rPr>
          <w:color w:val="000000" w:themeColor="text1"/>
        </w:rPr>
        <w:t>R</w:t>
      </w:r>
      <w:r w:rsidR="00BE418D" w:rsidRPr="00FC4E0C">
        <w:rPr>
          <w:color w:val="000000" w:themeColor="text1"/>
        </w:rPr>
        <w:t>B) is</w:t>
      </w:r>
      <w:r w:rsidR="00BE418D">
        <w:rPr>
          <w:color w:val="000000" w:themeColor="text1"/>
        </w:rPr>
        <w:t xml:space="preserve"> the </w:t>
      </w:r>
      <w:r w:rsidR="00BE418D" w:rsidRPr="00827916">
        <w:rPr>
          <w:i/>
          <w:color w:val="000000" w:themeColor="text1"/>
        </w:rPr>
        <w:t>cry14Ab-1.b</w:t>
      </w:r>
      <w:r w:rsidR="00BE418D">
        <w:rPr>
          <w:color w:val="000000" w:themeColor="text1"/>
        </w:rPr>
        <w:t xml:space="preserve"> gene cassette.</w:t>
      </w:r>
      <w:r w:rsidR="00BE418D" w:rsidRPr="00827916">
        <w:rPr>
          <w:color w:val="000000" w:themeColor="text1"/>
        </w:rPr>
        <w:t xml:space="preserve"> </w:t>
      </w:r>
      <w:r w:rsidR="00BE418D" w:rsidRPr="00FC4E0C">
        <w:rPr>
          <w:color w:val="000000" w:themeColor="text1"/>
        </w:rPr>
        <w:t>Expression of</w:t>
      </w:r>
      <w:r w:rsidR="00BE418D" w:rsidRPr="00827916">
        <w:rPr>
          <w:color w:val="000000" w:themeColor="text1"/>
        </w:rPr>
        <w:t xml:space="preserve"> the Cry gene </w:t>
      </w:r>
      <w:r w:rsidR="00BE418D" w:rsidRPr="00FC4E0C">
        <w:rPr>
          <w:color w:val="000000" w:themeColor="text1"/>
        </w:rPr>
        <w:t xml:space="preserve">is under the control of the </w:t>
      </w:r>
      <w:r w:rsidR="00BE418D">
        <w:rPr>
          <w:color w:val="000000" w:themeColor="text1"/>
        </w:rPr>
        <w:t>ubiquitin-10</w:t>
      </w:r>
      <w:r w:rsidR="00BE418D" w:rsidRPr="00FC4E0C">
        <w:rPr>
          <w:color w:val="000000" w:themeColor="text1"/>
        </w:rPr>
        <w:t xml:space="preserve"> promoter</w:t>
      </w:r>
      <w:r w:rsidR="00BE418D">
        <w:rPr>
          <w:color w:val="000000" w:themeColor="text1"/>
        </w:rPr>
        <w:t xml:space="preserve"> from </w:t>
      </w:r>
      <w:r w:rsidR="00BE418D" w:rsidRPr="00827916">
        <w:rPr>
          <w:i/>
          <w:color w:val="000000" w:themeColor="text1"/>
        </w:rPr>
        <w:t>A. thaliana</w:t>
      </w:r>
      <w:r w:rsidR="00BE418D">
        <w:rPr>
          <w:color w:val="000000" w:themeColor="text1"/>
        </w:rPr>
        <w:t xml:space="preserve"> </w:t>
      </w:r>
      <w:r w:rsidR="00BE418D" w:rsidRPr="00FC4E0C">
        <w:rPr>
          <w:color w:val="000000" w:themeColor="text1"/>
        </w:rPr>
        <w:t xml:space="preserve">and </w:t>
      </w:r>
      <w:r w:rsidR="00BE418D">
        <w:rPr>
          <w:color w:val="000000" w:themeColor="text1"/>
        </w:rPr>
        <w:t xml:space="preserve">the 35S </w:t>
      </w:r>
      <w:r w:rsidR="00BE418D" w:rsidRPr="00FC4E0C">
        <w:rPr>
          <w:color w:val="000000" w:themeColor="text1"/>
        </w:rPr>
        <w:t xml:space="preserve">terminator sequence from </w:t>
      </w:r>
      <w:r w:rsidR="00A57202">
        <w:rPr>
          <w:color w:val="000000" w:themeColor="text1"/>
        </w:rPr>
        <w:t xml:space="preserve">the </w:t>
      </w:r>
      <w:r w:rsidR="00BE418D" w:rsidRPr="00FC4E0C">
        <w:rPr>
          <w:color w:val="000000" w:themeColor="text1"/>
        </w:rPr>
        <w:t xml:space="preserve">cauliflower mosaic virus </w:t>
      </w:r>
      <w:r w:rsidR="00BE418D">
        <w:rPr>
          <w:color w:val="000000" w:themeColor="text1"/>
        </w:rPr>
        <w:t>(</w:t>
      </w:r>
      <w:r w:rsidR="00BE418D" w:rsidRPr="00FC4E0C">
        <w:rPr>
          <w:color w:val="000000" w:themeColor="text1"/>
        </w:rPr>
        <w:t>CaMV</w:t>
      </w:r>
      <w:r w:rsidR="00BE418D">
        <w:rPr>
          <w:color w:val="000000" w:themeColor="text1"/>
        </w:rPr>
        <w:t>)</w:t>
      </w:r>
      <w:r w:rsidR="00BE418D" w:rsidRPr="00FC4E0C">
        <w:rPr>
          <w:color w:val="000000" w:themeColor="text1"/>
        </w:rPr>
        <w:t>.</w:t>
      </w:r>
    </w:p>
    <w:p w14:paraId="010137C1" w14:textId="77777777" w:rsidR="00BE418D" w:rsidRDefault="00BE418D" w:rsidP="008D5B65">
      <w:pPr>
        <w:rPr>
          <w:color w:val="000000" w:themeColor="text1"/>
        </w:rPr>
      </w:pPr>
    </w:p>
    <w:p w14:paraId="701E90EF" w14:textId="3716995B" w:rsidR="00FC4E0C" w:rsidRDefault="0058434F" w:rsidP="00FC4E0C">
      <w:pPr>
        <w:rPr>
          <w:color w:val="000000" w:themeColor="text1"/>
        </w:rPr>
      </w:pPr>
      <w:r w:rsidRPr="00FC4E0C">
        <w:rPr>
          <w:color w:val="000000" w:themeColor="text1"/>
        </w:rPr>
        <w:t xml:space="preserve">At the left border (LB) is the </w:t>
      </w:r>
      <w:r w:rsidR="008D5B65" w:rsidRPr="00FC4E0C">
        <w:rPr>
          <w:i/>
          <w:color w:val="000000" w:themeColor="text1"/>
        </w:rPr>
        <w:t xml:space="preserve">hppdPf-4Pa </w:t>
      </w:r>
      <w:r w:rsidR="00BE418D">
        <w:rPr>
          <w:color w:val="000000" w:themeColor="text1"/>
        </w:rPr>
        <w:t>gene cassette</w:t>
      </w:r>
      <w:r w:rsidRPr="00FC4E0C">
        <w:rPr>
          <w:color w:val="000000" w:themeColor="text1"/>
        </w:rPr>
        <w:t xml:space="preserve">. Expression of </w:t>
      </w:r>
      <w:r w:rsidR="008D5B65" w:rsidRPr="00FC4E0C">
        <w:rPr>
          <w:i/>
          <w:color w:val="000000" w:themeColor="text1"/>
        </w:rPr>
        <w:t>hppdPf-4Pa</w:t>
      </w:r>
      <w:r w:rsidR="008D5B65" w:rsidRPr="00FC4E0C">
        <w:rPr>
          <w:color w:val="000000" w:themeColor="text1"/>
        </w:rPr>
        <w:t xml:space="preserve"> </w:t>
      </w:r>
      <w:r w:rsidRPr="00FC4E0C">
        <w:rPr>
          <w:color w:val="000000" w:themeColor="text1"/>
        </w:rPr>
        <w:t xml:space="preserve">is under the control of the </w:t>
      </w:r>
      <w:r w:rsidR="008D5B65" w:rsidRPr="00FC4E0C">
        <w:rPr>
          <w:color w:val="000000" w:themeColor="text1"/>
        </w:rPr>
        <w:t>double enhanced 35S promoter</w:t>
      </w:r>
      <w:r w:rsidR="00BE418D">
        <w:rPr>
          <w:color w:val="000000" w:themeColor="text1"/>
        </w:rPr>
        <w:t xml:space="preserve"> from the</w:t>
      </w:r>
      <w:r w:rsidR="008D5B65" w:rsidRPr="00FC4E0C">
        <w:rPr>
          <w:color w:val="000000" w:themeColor="text1"/>
        </w:rPr>
        <w:t xml:space="preserve"> </w:t>
      </w:r>
      <w:r w:rsidR="00FC4E0C" w:rsidRPr="00FC4E0C">
        <w:rPr>
          <w:color w:val="000000" w:themeColor="text1"/>
        </w:rPr>
        <w:t xml:space="preserve">CaMV </w:t>
      </w:r>
      <w:r w:rsidRPr="00FC4E0C">
        <w:rPr>
          <w:color w:val="000000" w:themeColor="text1"/>
        </w:rPr>
        <w:t xml:space="preserve">and </w:t>
      </w:r>
      <w:r w:rsidR="00FC4E0C">
        <w:rPr>
          <w:color w:val="000000" w:themeColor="text1"/>
        </w:rPr>
        <w:t xml:space="preserve">the </w:t>
      </w:r>
      <w:r w:rsidRPr="00FC4E0C">
        <w:rPr>
          <w:color w:val="000000" w:themeColor="text1"/>
        </w:rPr>
        <w:t xml:space="preserve">terminator </w:t>
      </w:r>
      <w:r w:rsidR="00FC4E0C" w:rsidRPr="00FC4E0C">
        <w:rPr>
          <w:color w:val="000000" w:themeColor="text1"/>
        </w:rPr>
        <w:t xml:space="preserve">sequence </w:t>
      </w:r>
      <w:r w:rsidR="00FC4E0C">
        <w:rPr>
          <w:color w:val="000000" w:themeColor="text1"/>
        </w:rPr>
        <w:t>within the</w:t>
      </w:r>
      <w:r w:rsidR="00FC4E0C" w:rsidRPr="00FC4E0C">
        <w:rPr>
          <w:color w:val="000000" w:themeColor="text1"/>
        </w:rPr>
        <w:t xml:space="preserve"> 35S 3’ UTR from CaMV</w:t>
      </w:r>
      <w:r w:rsidRPr="00FC4E0C">
        <w:rPr>
          <w:color w:val="000000" w:themeColor="text1"/>
        </w:rPr>
        <w:t xml:space="preserve">. </w:t>
      </w:r>
      <w:r w:rsidR="00FC4E0C">
        <w:rPr>
          <w:color w:val="000000" w:themeColor="text1"/>
        </w:rPr>
        <w:t>The</w:t>
      </w:r>
      <w:r w:rsidR="00FC4E0C" w:rsidRPr="00FC4E0C">
        <w:rPr>
          <w:color w:val="000000" w:themeColor="text1"/>
        </w:rPr>
        <w:t xml:space="preserve"> </w:t>
      </w:r>
      <w:r w:rsidR="00FC4E0C" w:rsidRPr="00FC4E0C">
        <w:rPr>
          <w:i/>
          <w:color w:val="000000" w:themeColor="text1"/>
        </w:rPr>
        <w:t xml:space="preserve">hppdPf-4Pa </w:t>
      </w:r>
      <w:r w:rsidR="00FC4E0C" w:rsidRPr="00FC4E0C">
        <w:rPr>
          <w:color w:val="000000" w:themeColor="text1"/>
        </w:rPr>
        <w:t>gene</w:t>
      </w:r>
      <w:r w:rsidR="00FC4E0C">
        <w:rPr>
          <w:color w:val="000000" w:themeColor="text1"/>
        </w:rPr>
        <w:t xml:space="preserve"> is preceded by a leader sequence from the tobacco etch virus and a transit peptide of the RuBisCo small unit gene, based on the sequence </w:t>
      </w:r>
      <w:r w:rsidR="00827916">
        <w:rPr>
          <w:color w:val="000000" w:themeColor="text1"/>
        </w:rPr>
        <w:t>found in</w:t>
      </w:r>
      <w:r w:rsidR="00FC4E0C">
        <w:rPr>
          <w:color w:val="000000" w:themeColor="text1"/>
        </w:rPr>
        <w:t xml:space="preserve"> </w:t>
      </w:r>
      <w:r w:rsidR="00FC4E0C" w:rsidRPr="00FC4E0C">
        <w:rPr>
          <w:i/>
          <w:color w:val="000000" w:themeColor="text1"/>
        </w:rPr>
        <w:t>Z. mays</w:t>
      </w:r>
      <w:r w:rsidR="00FC4E0C">
        <w:rPr>
          <w:color w:val="000000" w:themeColor="text1"/>
        </w:rPr>
        <w:t xml:space="preserve"> and </w:t>
      </w:r>
      <w:r w:rsidR="00FC4E0C" w:rsidRPr="00FC4E0C">
        <w:rPr>
          <w:i/>
          <w:color w:val="000000" w:themeColor="text1"/>
        </w:rPr>
        <w:t>H. annuus</w:t>
      </w:r>
      <w:r w:rsidR="00A2121F">
        <w:rPr>
          <w:color w:val="000000" w:themeColor="text1"/>
        </w:rPr>
        <w:t xml:space="preserve"> </w:t>
      </w:r>
      <w:r w:rsidR="00827916">
        <w:rPr>
          <w:color w:val="000000" w:themeColor="text1"/>
        </w:rPr>
        <w:t>(Lebrun et al</w:t>
      </w:r>
      <w:r w:rsidR="00482D46">
        <w:rPr>
          <w:color w:val="000000" w:themeColor="text1"/>
        </w:rPr>
        <w:t>.</w:t>
      </w:r>
      <w:r w:rsidR="00827916">
        <w:rPr>
          <w:color w:val="000000" w:themeColor="text1"/>
        </w:rPr>
        <w:t xml:space="preserve"> 1996). This transit peptide ensures the enzyme is translocated to the plastids, such as chloroplasts, after protein translation.</w:t>
      </w:r>
    </w:p>
    <w:p w14:paraId="1AD08C55" w14:textId="77777777" w:rsidR="00BE418D" w:rsidRDefault="00BE418D" w:rsidP="00FC4E0C">
      <w:pPr>
        <w:rPr>
          <w:color w:val="000000" w:themeColor="text1"/>
        </w:rPr>
      </w:pPr>
    </w:p>
    <w:p w14:paraId="15908B30" w14:textId="04A272AD" w:rsidR="00824858" w:rsidRDefault="00BE418D" w:rsidP="00B238E6">
      <w:pPr>
        <w:rPr>
          <w:rFonts w:cs="Arial"/>
          <w:b/>
        </w:rPr>
      </w:pPr>
      <w:r>
        <w:rPr>
          <w:color w:val="000000" w:themeColor="text1"/>
        </w:rPr>
        <w:t xml:space="preserve">There are intervening sequences also present in the T-DNA region as outlined in </w:t>
      </w:r>
      <w:hyperlink w:anchor="Table2" w:history="1">
        <w:r w:rsidRPr="00337305">
          <w:rPr>
            <w:rStyle w:val="Hyperlink"/>
          </w:rPr>
          <w:t xml:space="preserve">Table </w:t>
        </w:r>
        <w:r w:rsidR="00A04498" w:rsidRPr="00337305">
          <w:rPr>
            <w:rStyle w:val="Hyperlink"/>
          </w:rPr>
          <w:t>2</w:t>
        </w:r>
      </w:hyperlink>
      <w:r>
        <w:rPr>
          <w:color w:val="000000" w:themeColor="text1"/>
        </w:rPr>
        <w:t>. These sequences assist with cloning, mapping and sequence analysis.</w:t>
      </w:r>
      <w:r w:rsidR="00824858">
        <w:br w:type="page"/>
      </w:r>
    </w:p>
    <w:p w14:paraId="0C051F9A" w14:textId="42A53538" w:rsidR="00827916" w:rsidRDefault="00827916" w:rsidP="00BE418D">
      <w:pPr>
        <w:pStyle w:val="FSTableTitle"/>
        <w:spacing w:after="80"/>
      </w:pPr>
      <w:bookmarkStart w:id="93" w:name="Table2"/>
      <w:r w:rsidRPr="00101C30">
        <w:t xml:space="preserve">Table </w:t>
      </w:r>
      <w:r w:rsidR="00A04498">
        <w:t>2</w:t>
      </w:r>
      <w:bookmarkEnd w:id="93"/>
      <w:r w:rsidRPr="00101C30">
        <w:t>: The genetic elements contained in the T-DNA region of p</w:t>
      </w:r>
      <w:r w:rsidRPr="00827916">
        <w:t>SZ8832</w:t>
      </w:r>
      <w:r w:rsidRPr="00101C30">
        <w:t xml:space="preserve">, used to create </w:t>
      </w:r>
      <w:r>
        <w:t>GMB511.</w:t>
      </w:r>
    </w:p>
    <w:tbl>
      <w:tblPr>
        <w:tblW w:w="9209" w:type="dxa"/>
        <w:jc w:val="center"/>
        <w:tblLayout w:type="fixed"/>
        <w:tblLook w:val="0000" w:firstRow="0" w:lastRow="0" w:firstColumn="0" w:lastColumn="0" w:noHBand="0" w:noVBand="0"/>
        <w:tblCaption w:val="Table 2"/>
        <w:tblDescription w:val="The genetic elements contained in the T-DNA region of pSZ8832, used to create GMB511."/>
      </w:tblPr>
      <w:tblGrid>
        <w:gridCol w:w="1838"/>
        <w:gridCol w:w="1134"/>
        <w:gridCol w:w="1276"/>
        <w:gridCol w:w="1417"/>
        <w:gridCol w:w="3544"/>
      </w:tblGrid>
      <w:tr w:rsidR="00BE418D" w:rsidRPr="00260A1F" w14:paraId="6D4D1CCE" w14:textId="77777777" w:rsidTr="006F04C6">
        <w:trPr>
          <w:trHeight w:val="454"/>
          <w:tblHeader/>
          <w:jc w:val="center"/>
        </w:trPr>
        <w:tc>
          <w:tcPr>
            <w:tcW w:w="1838" w:type="dxa"/>
            <w:shd w:val="clear" w:color="auto" w:fill="595959" w:themeFill="text1" w:themeFillTint="A6"/>
            <w:vAlign w:val="center"/>
          </w:tcPr>
          <w:p w14:paraId="3B9A0028" w14:textId="77777777" w:rsidR="00827916" w:rsidRPr="0089561E" w:rsidRDefault="00827916" w:rsidP="000F6385">
            <w:pPr>
              <w:widowControl/>
              <w:jc w:val="center"/>
              <w:rPr>
                <w:rFonts w:eastAsia="Batang" w:cs="Arial"/>
                <w:b/>
                <w:bCs/>
                <w:iCs/>
                <w:color w:val="FFFFFF" w:themeColor="background1"/>
                <w:sz w:val="18"/>
                <w:szCs w:val="16"/>
                <w:lang w:val="en-AU" w:bidi="ar-SA"/>
              </w:rPr>
            </w:pPr>
            <w:r w:rsidRPr="0089561E">
              <w:rPr>
                <w:rFonts w:eastAsia="Batang" w:cs="Arial"/>
                <w:b/>
                <w:bCs/>
                <w:iCs/>
                <w:color w:val="FFFFFF" w:themeColor="background1"/>
                <w:sz w:val="18"/>
                <w:szCs w:val="16"/>
                <w:lang w:val="en-AU" w:bidi="ar-SA"/>
              </w:rPr>
              <w:t>Genetic element</w:t>
            </w:r>
          </w:p>
        </w:tc>
        <w:tc>
          <w:tcPr>
            <w:tcW w:w="1134" w:type="dxa"/>
            <w:shd w:val="clear" w:color="auto" w:fill="595959" w:themeFill="text1" w:themeFillTint="A6"/>
            <w:vAlign w:val="center"/>
          </w:tcPr>
          <w:p w14:paraId="1E04D4A0" w14:textId="77777777" w:rsidR="00827916" w:rsidRPr="0089561E" w:rsidRDefault="00827916" w:rsidP="000F6385">
            <w:pPr>
              <w:widowControl/>
              <w:jc w:val="center"/>
              <w:rPr>
                <w:rFonts w:eastAsia="Batang" w:cs="Arial"/>
                <w:b/>
                <w:bCs/>
                <w:iCs/>
                <w:color w:val="FFFFFF" w:themeColor="background1"/>
                <w:sz w:val="18"/>
                <w:szCs w:val="16"/>
                <w:lang w:val="en-AU" w:bidi="ar-SA"/>
              </w:rPr>
            </w:pPr>
            <w:r w:rsidRPr="0089561E">
              <w:rPr>
                <w:rFonts w:eastAsia="Batang" w:cs="Arial"/>
                <w:b/>
                <w:bCs/>
                <w:iCs/>
                <w:color w:val="FFFFFF" w:themeColor="background1"/>
                <w:sz w:val="18"/>
                <w:szCs w:val="16"/>
                <w:lang w:val="en-AU" w:bidi="ar-SA"/>
              </w:rPr>
              <w:t>Relative position</w:t>
            </w:r>
          </w:p>
        </w:tc>
        <w:tc>
          <w:tcPr>
            <w:tcW w:w="1276" w:type="dxa"/>
            <w:shd w:val="clear" w:color="auto" w:fill="595959" w:themeFill="text1" w:themeFillTint="A6"/>
            <w:vAlign w:val="center"/>
          </w:tcPr>
          <w:p w14:paraId="3A5DCCA7" w14:textId="77777777" w:rsidR="00827916" w:rsidRPr="0089561E" w:rsidRDefault="00827916" w:rsidP="000F6385">
            <w:pPr>
              <w:widowControl/>
              <w:jc w:val="center"/>
              <w:rPr>
                <w:rFonts w:eastAsia="Batang" w:cs="Arial"/>
                <w:b/>
                <w:bCs/>
                <w:iCs/>
                <w:color w:val="FFFFFF" w:themeColor="background1"/>
                <w:sz w:val="18"/>
                <w:szCs w:val="16"/>
                <w:lang w:val="en-AU" w:bidi="ar-SA"/>
              </w:rPr>
            </w:pPr>
            <w:r w:rsidRPr="0089561E">
              <w:rPr>
                <w:rFonts w:eastAsia="Batang" w:cs="Arial"/>
                <w:b/>
                <w:bCs/>
                <w:iCs/>
                <w:color w:val="FFFFFF" w:themeColor="background1"/>
                <w:sz w:val="18"/>
                <w:szCs w:val="16"/>
                <w:lang w:val="en-AU" w:bidi="ar-SA"/>
              </w:rPr>
              <w:t>Orientation</w:t>
            </w:r>
          </w:p>
        </w:tc>
        <w:tc>
          <w:tcPr>
            <w:tcW w:w="1417" w:type="dxa"/>
            <w:shd w:val="clear" w:color="auto" w:fill="595959" w:themeFill="text1" w:themeFillTint="A6"/>
            <w:vAlign w:val="center"/>
          </w:tcPr>
          <w:p w14:paraId="3B80E3EE" w14:textId="77777777" w:rsidR="00827916" w:rsidRPr="0089561E" w:rsidRDefault="00827916" w:rsidP="000F6385">
            <w:pPr>
              <w:widowControl/>
              <w:jc w:val="center"/>
              <w:rPr>
                <w:rFonts w:eastAsia="Batang" w:cs="Arial"/>
                <w:b/>
                <w:bCs/>
                <w:iCs/>
                <w:color w:val="FFFFFF" w:themeColor="background1"/>
                <w:sz w:val="18"/>
                <w:szCs w:val="16"/>
                <w:lang w:val="en-AU" w:bidi="ar-SA"/>
              </w:rPr>
            </w:pPr>
            <w:r w:rsidRPr="0089561E">
              <w:rPr>
                <w:rFonts w:eastAsia="Batang" w:cs="Arial"/>
                <w:b/>
                <w:bCs/>
                <w:iCs/>
                <w:color w:val="FFFFFF" w:themeColor="background1"/>
                <w:sz w:val="18"/>
                <w:szCs w:val="16"/>
                <w:lang w:val="en-AU" w:bidi="ar-SA"/>
              </w:rPr>
              <w:t>Source</w:t>
            </w:r>
          </w:p>
        </w:tc>
        <w:tc>
          <w:tcPr>
            <w:tcW w:w="3544" w:type="dxa"/>
            <w:shd w:val="clear" w:color="auto" w:fill="595959" w:themeFill="text1" w:themeFillTint="A6"/>
            <w:vAlign w:val="center"/>
          </w:tcPr>
          <w:p w14:paraId="5AB50351" w14:textId="77777777" w:rsidR="00827916" w:rsidRPr="0089561E" w:rsidRDefault="00827916" w:rsidP="000F6385">
            <w:pPr>
              <w:widowControl/>
              <w:jc w:val="center"/>
              <w:rPr>
                <w:rFonts w:eastAsia="Batang" w:cs="Arial"/>
                <w:b/>
                <w:bCs/>
                <w:iCs/>
                <w:color w:val="FFFFFF" w:themeColor="background1"/>
                <w:sz w:val="18"/>
                <w:szCs w:val="16"/>
                <w:lang w:val="en-AU" w:bidi="ar-SA"/>
              </w:rPr>
            </w:pPr>
            <w:r w:rsidRPr="0089561E">
              <w:rPr>
                <w:rFonts w:eastAsia="Batang" w:cs="Arial"/>
                <w:b/>
                <w:bCs/>
                <w:iCs/>
                <w:color w:val="FFFFFF" w:themeColor="background1"/>
                <w:sz w:val="18"/>
                <w:szCs w:val="16"/>
                <w:lang w:val="en-AU" w:bidi="ar-SA"/>
              </w:rPr>
              <w:t>Description, Function &amp; Reference</w:t>
            </w:r>
          </w:p>
        </w:tc>
      </w:tr>
      <w:tr w:rsidR="00BE418D" w:rsidRPr="00260A1F" w14:paraId="7F62D47E" w14:textId="77777777" w:rsidTr="006F04C6">
        <w:trPr>
          <w:trHeight w:val="454"/>
          <w:jc w:val="center"/>
        </w:trPr>
        <w:tc>
          <w:tcPr>
            <w:tcW w:w="1838" w:type="dxa"/>
            <w:shd w:val="clear" w:color="auto" w:fill="DDD9C3" w:themeFill="background2" w:themeFillShade="E6"/>
            <w:vAlign w:val="center"/>
          </w:tcPr>
          <w:p w14:paraId="4256F7A2" w14:textId="77777777" w:rsidR="00827916" w:rsidRPr="00101C30" w:rsidRDefault="00827916" w:rsidP="000F6385">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Right border (RB)</w:t>
            </w:r>
          </w:p>
        </w:tc>
        <w:tc>
          <w:tcPr>
            <w:tcW w:w="1134" w:type="dxa"/>
            <w:shd w:val="clear" w:color="auto" w:fill="DDD9C3" w:themeFill="background2" w:themeFillShade="E6"/>
            <w:vAlign w:val="center"/>
          </w:tcPr>
          <w:p w14:paraId="1D66D1CD" w14:textId="4060B296" w:rsidR="00827916" w:rsidRPr="00101C30" w:rsidRDefault="00B2579A" w:rsidP="000F6385">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1 - 24</w:t>
            </w:r>
          </w:p>
        </w:tc>
        <w:tc>
          <w:tcPr>
            <w:tcW w:w="1276" w:type="dxa"/>
            <w:shd w:val="clear" w:color="auto" w:fill="DDD9C3" w:themeFill="background2" w:themeFillShade="E6"/>
            <w:vAlign w:val="center"/>
          </w:tcPr>
          <w:p w14:paraId="0C8B780C" w14:textId="77777777" w:rsidR="00827916" w:rsidRPr="00101C30" w:rsidRDefault="00827916" w:rsidP="000F6385">
            <w:pPr>
              <w:widowControl/>
              <w:jc w:val="center"/>
              <w:rPr>
                <w:rFonts w:eastAsia="Batang" w:cs="Arial"/>
                <w:iCs/>
                <w:color w:val="000000" w:themeColor="text1"/>
                <w:sz w:val="16"/>
                <w:szCs w:val="16"/>
                <w:lang w:val="en-AU" w:bidi="ar-SA"/>
              </w:rPr>
            </w:pPr>
          </w:p>
        </w:tc>
        <w:tc>
          <w:tcPr>
            <w:tcW w:w="1417" w:type="dxa"/>
            <w:shd w:val="clear" w:color="auto" w:fill="DDD9C3" w:themeFill="background2" w:themeFillShade="E6"/>
            <w:vAlign w:val="center"/>
          </w:tcPr>
          <w:p w14:paraId="5D891E47" w14:textId="77777777" w:rsidR="00827916" w:rsidRPr="00101C30" w:rsidRDefault="00827916" w:rsidP="000F6385">
            <w:pPr>
              <w:widowControl/>
              <w:jc w:val="center"/>
              <w:rPr>
                <w:rFonts w:eastAsia="Batang" w:cs="Arial"/>
                <w:iCs/>
                <w:color w:val="000000" w:themeColor="text1"/>
                <w:sz w:val="16"/>
                <w:szCs w:val="16"/>
                <w:lang w:val="en-AU" w:bidi="ar-SA"/>
              </w:rPr>
            </w:pPr>
            <w:r w:rsidRPr="00101C30">
              <w:rPr>
                <w:rFonts w:cs="Arial"/>
                <w:i/>
                <w:iCs/>
                <w:sz w:val="16"/>
                <w:szCs w:val="16"/>
                <w:lang w:eastAsia="en-GB" w:bidi="ar-SA"/>
              </w:rPr>
              <w:t>Agrobacterium tumefaciens</w:t>
            </w:r>
          </w:p>
        </w:tc>
        <w:tc>
          <w:tcPr>
            <w:tcW w:w="3544" w:type="dxa"/>
            <w:shd w:val="clear" w:color="auto" w:fill="DDD9C3" w:themeFill="background2" w:themeFillShade="E6"/>
            <w:vAlign w:val="center"/>
          </w:tcPr>
          <w:p w14:paraId="705B734A" w14:textId="7F8D25F5" w:rsidR="00827916" w:rsidRPr="00101C30" w:rsidRDefault="00827916" w:rsidP="00482D46">
            <w:pPr>
              <w:widowControl/>
              <w:rPr>
                <w:rFonts w:eastAsia="Batang" w:cs="Arial"/>
                <w:iCs/>
                <w:color w:val="000000" w:themeColor="text1"/>
                <w:sz w:val="16"/>
                <w:szCs w:val="16"/>
                <w:lang w:val="en-AU" w:bidi="ar-SA"/>
              </w:rPr>
            </w:pPr>
            <w:r w:rsidRPr="00101C30">
              <w:rPr>
                <w:rFonts w:cs="Arial"/>
                <w:sz w:val="16"/>
                <w:szCs w:val="16"/>
                <w:lang w:eastAsia="en-GB" w:bidi="ar-SA"/>
              </w:rPr>
              <w:t>Right border repeat from the T-DNA (Zambryski 1988)</w:t>
            </w:r>
          </w:p>
        </w:tc>
      </w:tr>
      <w:tr w:rsidR="00BE418D" w14:paraId="1F047EC6" w14:textId="77777777" w:rsidTr="006F04C6">
        <w:trPr>
          <w:trHeight w:val="454"/>
          <w:jc w:val="center"/>
        </w:trPr>
        <w:tc>
          <w:tcPr>
            <w:tcW w:w="1838" w:type="dxa"/>
            <w:shd w:val="clear" w:color="auto" w:fill="DDD9C3" w:themeFill="background2" w:themeFillShade="E6"/>
            <w:vAlign w:val="center"/>
          </w:tcPr>
          <w:p w14:paraId="0D7ED44C" w14:textId="77777777" w:rsidR="00827916" w:rsidRPr="00101C30" w:rsidRDefault="00827916" w:rsidP="000F6385">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Right border region</w:t>
            </w:r>
          </w:p>
        </w:tc>
        <w:tc>
          <w:tcPr>
            <w:tcW w:w="1134" w:type="dxa"/>
            <w:shd w:val="clear" w:color="auto" w:fill="DDD9C3" w:themeFill="background2" w:themeFillShade="E6"/>
            <w:vAlign w:val="center"/>
          </w:tcPr>
          <w:p w14:paraId="55A31816" w14:textId="278A79FE" w:rsidR="00827916" w:rsidRPr="00101C30" w:rsidRDefault="00827916" w:rsidP="00B2579A">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2</w:t>
            </w:r>
            <w:r w:rsidR="00B2579A">
              <w:rPr>
                <w:rFonts w:eastAsia="Batang" w:cs="Arial"/>
                <w:iCs/>
                <w:color w:val="000000" w:themeColor="text1"/>
                <w:sz w:val="16"/>
                <w:szCs w:val="16"/>
                <w:lang w:val="en-AU" w:bidi="ar-SA"/>
              </w:rPr>
              <w:t>5 - 154</w:t>
            </w:r>
          </w:p>
        </w:tc>
        <w:tc>
          <w:tcPr>
            <w:tcW w:w="1276" w:type="dxa"/>
            <w:shd w:val="clear" w:color="auto" w:fill="DDD9C3" w:themeFill="background2" w:themeFillShade="E6"/>
            <w:vAlign w:val="center"/>
          </w:tcPr>
          <w:p w14:paraId="6CDFF1D6" w14:textId="77777777" w:rsidR="00827916" w:rsidRPr="00101C30" w:rsidRDefault="00827916" w:rsidP="000F6385">
            <w:pPr>
              <w:widowControl/>
              <w:jc w:val="center"/>
              <w:rPr>
                <w:rFonts w:eastAsia="Batang" w:cs="Arial"/>
                <w:iCs/>
                <w:color w:val="000000" w:themeColor="text1"/>
                <w:sz w:val="16"/>
                <w:szCs w:val="16"/>
                <w:lang w:val="en-AU" w:bidi="ar-SA"/>
              </w:rPr>
            </w:pPr>
          </w:p>
        </w:tc>
        <w:tc>
          <w:tcPr>
            <w:tcW w:w="1417" w:type="dxa"/>
            <w:shd w:val="clear" w:color="auto" w:fill="DDD9C3" w:themeFill="background2" w:themeFillShade="E6"/>
            <w:vAlign w:val="center"/>
          </w:tcPr>
          <w:p w14:paraId="664D8385" w14:textId="5D4B2F6C" w:rsidR="00827916" w:rsidRPr="00101C30" w:rsidRDefault="00827916" w:rsidP="000F6385">
            <w:pPr>
              <w:widowControl/>
              <w:jc w:val="center"/>
              <w:rPr>
                <w:rFonts w:eastAsia="Batang" w:cs="Arial"/>
                <w:iCs/>
                <w:color w:val="000000" w:themeColor="text1"/>
                <w:sz w:val="16"/>
                <w:szCs w:val="16"/>
                <w:lang w:val="en-AU" w:bidi="ar-SA"/>
              </w:rPr>
            </w:pPr>
          </w:p>
        </w:tc>
        <w:tc>
          <w:tcPr>
            <w:tcW w:w="3544" w:type="dxa"/>
            <w:shd w:val="clear" w:color="auto" w:fill="DDD9C3" w:themeFill="background2" w:themeFillShade="E6"/>
            <w:vAlign w:val="center"/>
          </w:tcPr>
          <w:p w14:paraId="46BB6AFE" w14:textId="047F6E20" w:rsidR="00827916" w:rsidRPr="00101C30" w:rsidRDefault="00827916" w:rsidP="000F6385">
            <w:pPr>
              <w:widowControl/>
              <w:rPr>
                <w:rFonts w:eastAsia="Batang" w:cs="Arial"/>
                <w:iCs/>
                <w:color w:val="000000" w:themeColor="text1"/>
                <w:sz w:val="16"/>
                <w:szCs w:val="16"/>
                <w:lang w:val="en-AU" w:bidi="ar-SA"/>
              </w:rPr>
            </w:pPr>
          </w:p>
        </w:tc>
      </w:tr>
      <w:tr w:rsidR="00827916" w:rsidRPr="00260A1F" w14:paraId="379F776E" w14:textId="77777777" w:rsidTr="006F04C6">
        <w:trPr>
          <w:trHeight w:val="624"/>
          <w:jc w:val="center"/>
        </w:trPr>
        <w:tc>
          <w:tcPr>
            <w:tcW w:w="1838" w:type="dxa"/>
            <w:vAlign w:val="center"/>
          </w:tcPr>
          <w:p w14:paraId="0A802602" w14:textId="30E7D76A" w:rsidR="00827916" w:rsidRPr="00A57202" w:rsidRDefault="00B2579A" w:rsidP="000F6385">
            <w:pPr>
              <w:widowControl/>
              <w:rPr>
                <w:rFonts w:eastAsia="Batang" w:cs="Arial"/>
                <w:i/>
                <w:iCs/>
                <w:color w:val="000000" w:themeColor="text1"/>
                <w:sz w:val="16"/>
                <w:szCs w:val="16"/>
                <w:lang w:val="en-AU" w:bidi="ar-SA"/>
              </w:rPr>
            </w:pPr>
            <w:r w:rsidRPr="00A57202">
              <w:rPr>
                <w:rFonts w:eastAsia="Batang" w:cs="Arial"/>
                <w:i/>
                <w:iCs/>
                <w:color w:val="000000" w:themeColor="text1"/>
                <w:sz w:val="16"/>
                <w:szCs w:val="16"/>
                <w:lang w:val="en-AU" w:bidi="ar-SA"/>
              </w:rPr>
              <w:t>T35S</w:t>
            </w:r>
          </w:p>
        </w:tc>
        <w:tc>
          <w:tcPr>
            <w:tcW w:w="1134" w:type="dxa"/>
            <w:vAlign w:val="center"/>
          </w:tcPr>
          <w:p w14:paraId="713ED76A" w14:textId="0213E440" w:rsidR="00827916" w:rsidRPr="00101C30" w:rsidRDefault="009C1DB7" w:rsidP="000F6385">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155 - 424</w:t>
            </w:r>
          </w:p>
        </w:tc>
        <w:tc>
          <w:tcPr>
            <w:tcW w:w="1276" w:type="dxa"/>
            <w:vAlign w:val="center"/>
          </w:tcPr>
          <w:p w14:paraId="12DB02A9" w14:textId="77777777" w:rsidR="00827916" w:rsidRPr="00101C30" w:rsidRDefault="00827916" w:rsidP="000F6385">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counter clockwise</w:t>
            </w:r>
          </w:p>
        </w:tc>
        <w:tc>
          <w:tcPr>
            <w:tcW w:w="1417" w:type="dxa"/>
            <w:vAlign w:val="center"/>
          </w:tcPr>
          <w:p w14:paraId="7701B853" w14:textId="78F4384C" w:rsidR="00827916" w:rsidRPr="00101C30" w:rsidRDefault="00B2579A" w:rsidP="000F6385">
            <w:pPr>
              <w:widowControl/>
              <w:jc w:val="center"/>
              <w:rPr>
                <w:rFonts w:eastAsia="Batang" w:cs="Arial"/>
                <w:i/>
                <w:iCs/>
                <w:color w:val="000000" w:themeColor="text1"/>
                <w:sz w:val="16"/>
                <w:szCs w:val="16"/>
                <w:lang w:val="en-AU" w:bidi="ar-SA"/>
              </w:rPr>
            </w:pPr>
            <w:r>
              <w:rPr>
                <w:rFonts w:cs="Arial"/>
                <w:i/>
                <w:iCs/>
                <w:sz w:val="16"/>
                <w:szCs w:val="16"/>
                <w:lang w:eastAsia="en-GB" w:bidi="ar-SA"/>
              </w:rPr>
              <w:t>Cauliflower mosaic virus</w:t>
            </w:r>
          </w:p>
        </w:tc>
        <w:tc>
          <w:tcPr>
            <w:tcW w:w="3544" w:type="dxa"/>
            <w:vAlign w:val="center"/>
          </w:tcPr>
          <w:p w14:paraId="18094B6E" w14:textId="35596D99" w:rsidR="00827916" w:rsidRPr="00101C30" w:rsidRDefault="00827916" w:rsidP="00B2579A">
            <w:pPr>
              <w:widowControl/>
              <w:rPr>
                <w:rFonts w:eastAsia="Batang" w:cs="Arial"/>
                <w:iCs/>
                <w:color w:val="000000" w:themeColor="text1"/>
                <w:sz w:val="16"/>
                <w:szCs w:val="16"/>
                <w:lang w:val="en-AU" w:bidi="ar-SA"/>
              </w:rPr>
            </w:pPr>
            <w:r w:rsidRPr="00101C30">
              <w:rPr>
                <w:rFonts w:cs="Arial"/>
                <w:sz w:val="16"/>
                <w:szCs w:val="16"/>
                <w:lang w:eastAsia="en-GB" w:bidi="ar-SA"/>
              </w:rPr>
              <w:t xml:space="preserve">3´ untranslated region of the </w:t>
            </w:r>
            <w:r w:rsidR="00B2579A">
              <w:rPr>
                <w:rFonts w:cs="Arial"/>
                <w:sz w:val="16"/>
                <w:szCs w:val="16"/>
                <w:lang w:eastAsia="en-GB" w:bidi="ar-SA"/>
              </w:rPr>
              <w:t>35S</w:t>
            </w:r>
            <w:r w:rsidRPr="00101C30">
              <w:rPr>
                <w:rFonts w:cs="Arial"/>
                <w:sz w:val="16"/>
                <w:szCs w:val="16"/>
                <w:lang w:eastAsia="en-GB" w:bidi="ar-SA"/>
              </w:rPr>
              <w:t xml:space="preserve"> gene containing the termination sequence </w:t>
            </w:r>
            <w:r w:rsidRPr="00101C30">
              <w:rPr>
                <w:rFonts w:eastAsia="Batang" w:cs="Arial"/>
                <w:iCs/>
                <w:color w:val="000000" w:themeColor="text1"/>
                <w:sz w:val="16"/>
                <w:szCs w:val="16"/>
                <w:lang w:val="en-AU" w:bidi="ar-SA"/>
              </w:rPr>
              <w:t>(</w:t>
            </w:r>
            <w:r w:rsidR="00B2579A" w:rsidRPr="00B2579A">
              <w:rPr>
                <w:rFonts w:eastAsia="Batang" w:cs="Arial"/>
                <w:iCs/>
                <w:color w:val="000000" w:themeColor="text1"/>
                <w:sz w:val="16"/>
                <w:szCs w:val="16"/>
                <w:lang w:val="en-AU" w:bidi="ar-SA"/>
              </w:rPr>
              <w:t>Sanfaçon et al. 1991</w:t>
            </w:r>
            <w:r w:rsidRPr="00101C30">
              <w:rPr>
                <w:rFonts w:eastAsia="Batang" w:cs="Arial"/>
                <w:iCs/>
                <w:color w:val="000000" w:themeColor="text1"/>
                <w:sz w:val="16"/>
                <w:szCs w:val="16"/>
                <w:lang w:val="en-AU" w:bidi="ar-SA"/>
              </w:rPr>
              <w:t>)</w:t>
            </w:r>
          </w:p>
        </w:tc>
      </w:tr>
      <w:tr w:rsidR="00827916" w:rsidRPr="00260A1F" w14:paraId="679C9DCF" w14:textId="77777777" w:rsidTr="006F04C6">
        <w:trPr>
          <w:trHeight w:val="454"/>
          <w:jc w:val="center"/>
        </w:trPr>
        <w:tc>
          <w:tcPr>
            <w:tcW w:w="1838" w:type="dxa"/>
            <w:shd w:val="clear" w:color="auto" w:fill="D9D9D9" w:themeFill="background1" w:themeFillShade="D9"/>
            <w:vAlign w:val="center"/>
          </w:tcPr>
          <w:p w14:paraId="7BB580D6" w14:textId="77777777" w:rsidR="00827916" w:rsidRPr="00101C30" w:rsidRDefault="00827916" w:rsidP="000F6385">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shd w:val="clear" w:color="auto" w:fill="D9D9D9" w:themeFill="background1" w:themeFillShade="D9"/>
            <w:vAlign w:val="center"/>
          </w:tcPr>
          <w:p w14:paraId="7D1C95B0" w14:textId="1C468739" w:rsidR="00827916" w:rsidRPr="00101C30" w:rsidRDefault="009C1DB7" w:rsidP="009C1DB7">
            <w:pPr>
              <w:widowControl/>
              <w:jc w:val="center"/>
              <w:rPr>
                <w:rFonts w:eastAsia="Batang" w:cs="Arial"/>
                <w:iCs/>
                <w:color w:val="000000" w:themeColor="text1"/>
                <w:sz w:val="16"/>
                <w:szCs w:val="16"/>
                <w:lang w:val="en-AU" w:bidi="ar-SA"/>
              </w:rPr>
            </w:pPr>
            <w:r>
              <w:rPr>
                <w:rFonts w:cs="Arial"/>
                <w:sz w:val="16"/>
                <w:szCs w:val="16"/>
                <w:lang w:eastAsia="en-GB" w:bidi="ar-SA"/>
              </w:rPr>
              <w:t>425</w:t>
            </w:r>
            <w:r w:rsidR="00827916" w:rsidRPr="00101C30">
              <w:rPr>
                <w:rFonts w:cs="Arial"/>
                <w:sz w:val="16"/>
                <w:szCs w:val="16"/>
                <w:lang w:eastAsia="en-GB" w:bidi="ar-SA"/>
              </w:rPr>
              <w:t xml:space="preserve"> - </w:t>
            </w:r>
            <w:r>
              <w:rPr>
                <w:rFonts w:cs="Arial"/>
                <w:sz w:val="16"/>
                <w:szCs w:val="16"/>
                <w:lang w:eastAsia="en-GB" w:bidi="ar-SA"/>
              </w:rPr>
              <w:t>435</w:t>
            </w:r>
          </w:p>
        </w:tc>
        <w:tc>
          <w:tcPr>
            <w:tcW w:w="1276" w:type="dxa"/>
            <w:shd w:val="clear" w:color="auto" w:fill="D9D9D9" w:themeFill="background1" w:themeFillShade="D9"/>
            <w:vAlign w:val="center"/>
          </w:tcPr>
          <w:p w14:paraId="4CA77C32" w14:textId="77777777" w:rsidR="00827916" w:rsidRPr="00101C30" w:rsidRDefault="00827916" w:rsidP="000F6385">
            <w:pPr>
              <w:widowControl/>
              <w:jc w:val="center"/>
              <w:rPr>
                <w:rFonts w:eastAsia="Batang" w:cs="Arial"/>
                <w:iCs/>
                <w:color w:val="000000" w:themeColor="text1"/>
                <w:sz w:val="16"/>
                <w:szCs w:val="16"/>
                <w:lang w:val="en-AU" w:bidi="ar-SA"/>
              </w:rPr>
            </w:pPr>
          </w:p>
        </w:tc>
        <w:tc>
          <w:tcPr>
            <w:tcW w:w="1417" w:type="dxa"/>
            <w:shd w:val="clear" w:color="auto" w:fill="D9D9D9" w:themeFill="background1" w:themeFillShade="D9"/>
            <w:vAlign w:val="center"/>
          </w:tcPr>
          <w:p w14:paraId="50545C5C" w14:textId="6AC981D1" w:rsidR="00827916" w:rsidRPr="00101C30" w:rsidRDefault="00827916" w:rsidP="000F6385">
            <w:pPr>
              <w:widowControl/>
              <w:jc w:val="center"/>
              <w:rPr>
                <w:rFonts w:eastAsia="Batang" w:cs="Arial"/>
                <w:i/>
                <w:iCs/>
                <w:color w:val="000000" w:themeColor="text1"/>
                <w:sz w:val="16"/>
                <w:szCs w:val="16"/>
                <w:lang w:val="en-AU" w:bidi="ar-SA"/>
              </w:rPr>
            </w:pPr>
          </w:p>
        </w:tc>
        <w:tc>
          <w:tcPr>
            <w:tcW w:w="3544" w:type="dxa"/>
            <w:shd w:val="clear" w:color="auto" w:fill="D9D9D9" w:themeFill="background1" w:themeFillShade="D9"/>
            <w:vAlign w:val="center"/>
          </w:tcPr>
          <w:p w14:paraId="4F68193A" w14:textId="77777777" w:rsidR="00827916" w:rsidRPr="00101C30" w:rsidRDefault="00827916" w:rsidP="000F6385">
            <w:pPr>
              <w:widowControl/>
              <w:rPr>
                <w:rFonts w:eastAsia="Batang" w:cs="Arial"/>
                <w:iCs/>
                <w:color w:val="000000" w:themeColor="text1"/>
                <w:sz w:val="16"/>
                <w:szCs w:val="16"/>
                <w:lang w:val="en-AU" w:bidi="ar-SA"/>
              </w:rPr>
            </w:pPr>
          </w:p>
        </w:tc>
      </w:tr>
      <w:tr w:rsidR="00827916" w:rsidRPr="00260A1F" w14:paraId="592041E0" w14:textId="77777777" w:rsidTr="006F04C6">
        <w:trPr>
          <w:trHeight w:val="454"/>
          <w:jc w:val="center"/>
        </w:trPr>
        <w:tc>
          <w:tcPr>
            <w:tcW w:w="1838" w:type="dxa"/>
            <w:vAlign w:val="center"/>
          </w:tcPr>
          <w:p w14:paraId="7E5F02EF" w14:textId="681F73D4" w:rsidR="00827916" w:rsidRPr="00101C30" w:rsidRDefault="00B2579A" w:rsidP="000F6385">
            <w:pPr>
              <w:widowControl/>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Cry14Ab-1.b</w:t>
            </w:r>
          </w:p>
        </w:tc>
        <w:tc>
          <w:tcPr>
            <w:tcW w:w="1134" w:type="dxa"/>
            <w:vAlign w:val="center"/>
          </w:tcPr>
          <w:p w14:paraId="1E008AE1" w14:textId="62027F44" w:rsidR="00827916" w:rsidRPr="00101C30" w:rsidRDefault="009C1DB7" w:rsidP="009C1DB7">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436</w:t>
            </w:r>
            <w:r w:rsidR="00827916" w:rsidRPr="00101C30">
              <w:rPr>
                <w:rFonts w:eastAsia="Batang" w:cs="Arial"/>
                <w:iCs/>
                <w:color w:val="000000" w:themeColor="text1"/>
                <w:sz w:val="16"/>
                <w:szCs w:val="16"/>
                <w:lang w:val="en-AU" w:bidi="ar-SA"/>
              </w:rPr>
              <w:t xml:space="preserve"> - </w:t>
            </w:r>
            <w:r>
              <w:rPr>
                <w:rFonts w:eastAsia="Batang" w:cs="Arial"/>
                <w:iCs/>
                <w:color w:val="000000" w:themeColor="text1"/>
                <w:sz w:val="16"/>
                <w:szCs w:val="16"/>
                <w:lang w:val="en-AU" w:bidi="ar-SA"/>
              </w:rPr>
              <w:t>3993</w:t>
            </w:r>
          </w:p>
        </w:tc>
        <w:tc>
          <w:tcPr>
            <w:tcW w:w="1276" w:type="dxa"/>
            <w:vAlign w:val="center"/>
          </w:tcPr>
          <w:p w14:paraId="15DC9D8D" w14:textId="77777777" w:rsidR="00827916" w:rsidRPr="00101C30" w:rsidRDefault="00827916" w:rsidP="000F6385">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counter clockwise</w:t>
            </w:r>
          </w:p>
        </w:tc>
        <w:tc>
          <w:tcPr>
            <w:tcW w:w="1417" w:type="dxa"/>
            <w:vAlign w:val="center"/>
          </w:tcPr>
          <w:p w14:paraId="4B94EC75" w14:textId="224BA5E9" w:rsidR="00827916" w:rsidRPr="00101C30" w:rsidRDefault="00B2579A" w:rsidP="000F6385">
            <w:pPr>
              <w:widowControl/>
              <w:jc w:val="center"/>
              <w:rPr>
                <w:rFonts w:eastAsia="Batang" w:cs="Arial"/>
                <w:i/>
                <w:iCs/>
                <w:color w:val="000000" w:themeColor="text1"/>
                <w:sz w:val="16"/>
                <w:szCs w:val="16"/>
                <w:lang w:val="en-AU" w:bidi="ar-SA"/>
              </w:rPr>
            </w:pPr>
            <w:r>
              <w:rPr>
                <w:rFonts w:eastAsiaTheme="minorHAnsi" w:cs="Arial"/>
                <w:i/>
                <w:color w:val="000000" w:themeColor="text1"/>
                <w:sz w:val="16"/>
                <w:szCs w:val="16"/>
              </w:rPr>
              <w:t>Bacillus thuringiensis</w:t>
            </w:r>
          </w:p>
        </w:tc>
        <w:tc>
          <w:tcPr>
            <w:tcW w:w="3544" w:type="dxa"/>
            <w:vAlign w:val="center"/>
          </w:tcPr>
          <w:p w14:paraId="2B403439" w14:textId="68CD6B1E" w:rsidR="00827916" w:rsidRPr="00101C30" w:rsidRDefault="00827916" w:rsidP="00B2579A">
            <w:pPr>
              <w:autoSpaceDE w:val="0"/>
              <w:autoSpaceDN w:val="0"/>
              <w:adjustRightInd w:val="0"/>
              <w:rPr>
                <w:rFonts w:eastAsiaTheme="minorHAnsi" w:cs="Arial"/>
                <w:color w:val="000000" w:themeColor="text1"/>
                <w:sz w:val="16"/>
                <w:szCs w:val="16"/>
              </w:rPr>
            </w:pPr>
            <w:r w:rsidRPr="00101C30">
              <w:rPr>
                <w:rFonts w:eastAsiaTheme="minorHAnsi" w:cs="Arial"/>
                <w:color w:val="000000" w:themeColor="text1"/>
                <w:sz w:val="16"/>
                <w:szCs w:val="16"/>
              </w:rPr>
              <w:t xml:space="preserve">coding sequence of the </w:t>
            </w:r>
            <w:r w:rsidR="00B2579A">
              <w:rPr>
                <w:rFonts w:eastAsiaTheme="minorHAnsi" w:cs="Arial"/>
                <w:color w:val="000000" w:themeColor="text1"/>
                <w:sz w:val="16"/>
                <w:szCs w:val="16"/>
              </w:rPr>
              <w:t>Cry14Ab-1 gene</w:t>
            </w:r>
            <w:r w:rsidR="007E74C1">
              <w:rPr>
                <w:rFonts w:eastAsiaTheme="minorHAnsi" w:cs="Arial"/>
                <w:color w:val="000000" w:themeColor="text1"/>
                <w:sz w:val="16"/>
                <w:szCs w:val="16"/>
              </w:rPr>
              <w:t xml:space="preserve"> (</w:t>
            </w:r>
            <w:r w:rsidR="007E74C1" w:rsidRPr="007E74C1">
              <w:rPr>
                <w:rFonts w:eastAsiaTheme="minorHAnsi" w:cs="Arial"/>
                <w:color w:val="000000" w:themeColor="text1"/>
                <w:sz w:val="16"/>
                <w:szCs w:val="16"/>
              </w:rPr>
              <w:t>Sampson et al. 2012)</w:t>
            </w:r>
          </w:p>
        </w:tc>
      </w:tr>
      <w:tr w:rsidR="00827916" w:rsidRPr="00260A1F" w14:paraId="3CF85305" w14:textId="77777777" w:rsidTr="006F04C6">
        <w:trPr>
          <w:trHeight w:val="454"/>
          <w:jc w:val="center"/>
        </w:trPr>
        <w:tc>
          <w:tcPr>
            <w:tcW w:w="1838" w:type="dxa"/>
            <w:shd w:val="clear" w:color="auto" w:fill="D9D9D9" w:themeFill="background1" w:themeFillShade="D9"/>
            <w:vAlign w:val="center"/>
          </w:tcPr>
          <w:p w14:paraId="458C200B" w14:textId="56EF0DAD" w:rsidR="00827916" w:rsidRPr="00101C30" w:rsidRDefault="00B2579A" w:rsidP="000F6385">
            <w:pPr>
              <w:widowControl/>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Pubi10At</w:t>
            </w:r>
          </w:p>
        </w:tc>
        <w:tc>
          <w:tcPr>
            <w:tcW w:w="1134" w:type="dxa"/>
            <w:shd w:val="clear" w:color="auto" w:fill="D9D9D9" w:themeFill="background1" w:themeFillShade="D9"/>
            <w:vAlign w:val="center"/>
          </w:tcPr>
          <w:p w14:paraId="2BB60E87" w14:textId="5632C84B" w:rsidR="00827916" w:rsidRPr="00101C30" w:rsidRDefault="009C1DB7" w:rsidP="009C1DB7">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3994</w:t>
            </w:r>
            <w:r w:rsidR="00827916" w:rsidRPr="00101C30">
              <w:rPr>
                <w:rFonts w:eastAsia="Batang" w:cs="Arial"/>
                <w:iCs/>
                <w:color w:val="000000" w:themeColor="text1"/>
                <w:sz w:val="16"/>
                <w:szCs w:val="16"/>
                <w:lang w:val="en-AU" w:bidi="ar-SA"/>
              </w:rPr>
              <w:t xml:space="preserve"> - </w:t>
            </w:r>
            <w:r>
              <w:rPr>
                <w:rFonts w:eastAsia="Batang" w:cs="Arial"/>
                <w:iCs/>
                <w:color w:val="000000" w:themeColor="text1"/>
                <w:sz w:val="16"/>
                <w:szCs w:val="16"/>
                <w:lang w:val="en-AU" w:bidi="ar-SA"/>
              </w:rPr>
              <w:t>5300</w:t>
            </w:r>
          </w:p>
        </w:tc>
        <w:tc>
          <w:tcPr>
            <w:tcW w:w="1276" w:type="dxa"/>
            <w:shd w:val="clear" w:color="auto" w:fill="D9D9D9" w:themeFill="background1" w:themeFillShade="D9"/>
            <w:vAlign w:val="center"/>
          </w:tcPr>
          <w:p w14:paraId="0258244B" w14:textId="77777777" w:rsidR="00827916" w:rsidRPr="00101C30" w:rsidRDefault="00827916" w:rsidP="000F6385">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counter clockwise</w:t>
            </w:r>
          </w:p>
        </w:tc>
        <w:tc>
          <w:tcPr>
            <w:tcW w:w="1417" w:type="dxa"/>
            <w:shd w:val="clear" w:color="auto" w:fill="D9D9D9" w:themeFill="background1" w:themeFillShade="D9"/>
            <w:vAlign w:val="center"/>
          </w:tcPr>
          <w:p w14:paraId="4520ABF1" w14:textId="0BC4E5BE" w:rsidR="00827916" w:rsidRPr="00101C30" w:rsidRDefault="00B2579A" w:rsidP="000F6385">
            <w:pPr>
              <w:widowControl/>
              <w:jc w:val="center"/>
              <w:rPr>
                <w:rFonts w:eastAsia="Batang" w:cs="Arial"/>
                <w:i/>
                <w:iCs/>
                <w:color w:val="000000" w:themeColor="text1"/>
                <w:sz w:val="16"/>
                <w:szCs w:val="16"/>
                <w:lang w:val="en-AU" w:bidi="ar-SA"/>
              </w:rPr>
            </w:pPr>
            <w:r w:rsidRPr="00101C30">
              <w:rPr>
                <w:rFonts w:cs="Arial"/>
                <w:i/>
                <w:iCs/>
                <w:sz w:val="16"/>
                <w:szCs w:val="16"/>
                <w:lang w:eastAsia="en-GB" w:bidi="ar-SA"/>
              </w:rPr>
              <w:t>Arabidopsis thaliana</w:t>
            </w:r>
          </w:p>
        </w:tc>
        <w:tc>
          <w:tcPr>
            <w:tcW w:w="3544" w:type="dxa"/>
            <w:shd w:val="clear" w:color="auto" w:fill="D9D9D9" w:themeFill="background1" w:themeFillShade="D9"/>
            <w:vAlign w:val="center"/>
          </w:tcPr>
          <w:p w14:paraId="1171272B" w14:textId="43B9F7D7" w:rsidR="00827916" w:rsidRPr="00101C30" w:rsidRDefault="00495DDF" w:rsidP="000F6385">
            <w:pPr>
              <w:widowControl/>
              <w:rPr>
                <w:rFonts w:eastAsia="Batang" w:cs="Arial"/>
                <w:iCs/>
                <w:color w:val="000000" w:themeColor="text1"/>
                <w:sz w:val="16"/>
                <w:szCs w:val="16"/>
                <w:lang w:val="en-AU" w:bidi="ar-SA"/>
              </w:rPr>
            </w:pPr>
            <w:r>
              <w:rPr>
                <w:rFonts w:eastAsia="Batang" w:cs="Arial"/>
                <w:iCs/>
                <w:color w:val="000000" w:themeColor="text1"/>
                <w:sz w:val="16"/>
                <w:szCs w:val="16"/>
                <w:lang w:val="en-AU" w:bidi="ar-SA"/>
              </w:rPr>
              <w:t>p</w:t>
            </w:r>
            <w:r w:rsidR="009C1DB7">
              <w:rPr>
                <w:rFonts w:eastAsia="Batang" w:cs="Arial"/>
                <w:iCs/>
                <w:color w:val="000000" w:themeColor="text1"/>
                <w:sz w:val="16"/>
                <w:szCs w:val="16"/>
                <w:lang w:val="en-AU" w:bidi="ar-SA"/>
              </w:rPr>
              <w:t xml:space="preserve">romoter sequence from the ubiquitin-10 gene </w:t>
            </w:r>
            <w:r>
              <w:rPr>
                <w:rFonts w:eastAsia="Batang" w:cs="Arial"/>
                <w:iCs/>
                <w:color w:val="000000" w:themeColor="text1"/>
                <w:sz w:val="16"/>
                <w:szCs w:val="16"/>
                <w:lang w:val="en-AU" w:bidi="ar-SA"/>
              </w:rPr>
              <w:t>(Grefen et al.</w:t>
            </w:r>
            <w:r w:rsidR="009C1DB7" w:rsidRPr="009C1DB7">
              <w:rPr>
                <w:rFonts w:eastAsia="Batang" w:cs="Arial"/>
                <w:iCs/>
                <w:color w:val="000000" w:themeColor="text1"/>
                <w:sz w:val="16"/>
                <w:szCs w:val="16"/>
                <w:lang w:val="en-AU" w:bidi="ar-SA"/>
              </w:rPr>
              <w:t xml:space="preserve"> 2010)</w:t>
            </w:r>
          </w:p>
        </w:tc>
      </w:tr>
      <w:tr w:rsidR="00827916" w:rsidRPr="00260A1F" w14:paraId="2A4D70B6" w14:textId="77777777" w:rsidTr="006F04C6">
        <w:trPr>
          <w:trHeight w:val="454"/>
          <w:jc w:val="center"/>
        </w:trPr>
        <w:tc>
          <w:tcPr>
            <w:tcW w:w="1838" w:type="dxa"/>
            <w:vAlign w:val="center"/>
          </w:tcPr>
          <w:p w14:paraId="1D95BBB6" w14:textId="77777777" w:rsidR="00827916" w:rsidRPr="00101C30" w:rsidRDefault="00827916" w:rsidP="000F6385">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vAlign w:val="center"/>
          </w:tcPr>
          <w:p w14:paraId="144F073E" w14:textId="09F3AB96" w:rsidR="00827916" w:rsidRPr="00101C30" w:rsidRDefault="009C1DB7" w:rsidP="000F6385">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5301 - 5405</w:t>
            </w:r>
          </w:p>
        </w:tc>
        <w:tc>
          <w:tcPr>
            <w:tcW w:w="1276" w:type="dxa"/>
            <w:vAlign w:val="center"/>
          </w:tcPr>
          <w:p w14:paraId="36D58BFF" w14:textId="77777777" w:rsidR="00827916" w:rsidRPr="00101C30" w:rsidRDefault="00827916" w:rsidP="000F6385">
            <w:pPr>
              <w:widowControl/>
              <w:jc w:val="center"/>
              <w:rPr>
                <w:rFonts w:eastAsia="Batang" w:cs="Arial"/>
                <w:iCs/>
                <w:color w:val="000000" w:themeColor="text1"/>
                <w:sz w:val="16"/>
                <w:szCs w:val="16"/>
                <w:lang w:val="en-AU" w:bidi="ar-SA"/>
              </w:rPr>
            </w:pPr>
          </w:p>
        </w:tc>
        <w:tc>
          <w:tcPr>
            <w:tcW w:w="1417" w:type="dxa"/>
            <w:vAlign w:val="center"/>
          </w:tcPr>
          <w:p w14:paraId="39689180" w14:textId="04DF6DB6" w:rsidR="00827916" w:rsidRPr="00101C30" w:rsidRDefault="00827916" w:rsidP="000F6385">
            <w:pPr>
              <w:widowControl/>
              <w:jc w:val="center"/>
              <w:rPr>
                <w:rFonts w:eastAsia="Batang" w:cs="Arial"/>
                <w:i/>
                <w:iCs/>
                <w:color w:val="000000" w:themeColor="text1"/>
                <w:sz w:val="16"/>
                <w:szCs w:val="16"/>
                <w:lang w:val="en-AU" w:bidi="ar-SA"/>
              </w:rPr>
            </w:pPr>
          </w:p>
        </w:tc>
        <w:tc>
          <w:tcPr>
            <w:tcW w:w="3544" w:type="dxa"/>
            <w:vAlign w:val="center"/>
          </w:tcPr>
          <w:p w14:paraId="7BA2A97F" w14:textId="77777777" w:rsidR="00827916" w:rsidRPr="00101C30" w:rsidRDefault="00827916" w:rsidP="000F6385">
            <w:pPr>
              <w:widowControl/>
              <w:ind w:left="34"/>
              <w:rPr>
                <w:rFonts w:eastAsia="Batang" w:cs="Arial"/>
                <w:iCs/>
                <w:color w:val="000000" w:themeColor="text1"/>
                <w:sz w:val="16"/>
                <w:szCs w:val="16"/>
                <w:lang w:val="en-AU" w:bidi="ar-SA"/>
              </w:rPr>
            </w:pPr>
          </w:p>
        </w:tc>
      </w:tr>
      <w:tr w:rsidR="00827916" w:rsidRPr="00260A1F" w14:paraId="01B08CEB" w14:textId="77777777" w:rsidTr="006F04C6">
        <w:trPr>
          <w:trHeight w:val="624"/>
          <w:jc w:val="center"/>
        </w:trPr>
        <w:tc>
          <w:tcPr>
            <w:tcW w:w="1838" w:type="dxa"/>
            <w:vAlign w:val="center"/>
          </w:tcPr>
          <w:p w14:paraId="77E9CE74" w14:textId="0E07DEEF" w:rsidR="00827916" w:rsidRPr="00A57202" w:rsidRDefault="009C1DB7" w:rsidP="000F6385">
            <w:pPr>
              <w:widowControl/>
              <w:rPr>
                <w:rFonts w:eastAsia="Batang" w:cs="Arial"/>
                <w:i/>
                <w:iCs/>
                <w:color w:val="000000" w:themeColor="text1"/>
                <w:sz w:val="16"/>
                <w:szCs w:val="16"/>
                <w:lang w:val="en-AU" w:bidi="ar-SA"/>
              </w:rPr>
            </w:pPr>
            <w:r w:rsidRPr="00A57202">
              <w:rPr>
                <w:rFonts w:eastAsia="Batang" w:cs="Arial"/>
                <w:i/>
                <w:iCs/>
                <w:color w:val="000000" w:themeColor="text1"/>
                <w:sz w:val="16"/>
                <w:szCs w:val="16"/>
                <w:lang w:val="en-AU" w:bidi="ar-SA"/>
              </w:rPr>
              <w:t>T35S</w:t>
            </w:r>
          </w:p>
        </w:tc>
        <w:tc>
          <w:tcPr>
            <w:tcW w:w="1134" w:type="dxa"/>
            <w:vAlign w:val="center"/>
          </w:tcPr>
          <w:p w14:paraId="5FA23E43" w14:textId="082F598F" w:rsidR="00827916" w:rsidRPr="00101C30" w:rsidRDefault="00495DDF" w:rsidP="000F6385">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5406 - 5600</w:t>
            </w:r>
          </w:p>
        </w:tc>
        <w:tc>
          <w:tcPr>
            <w:tcW w:w="1276" w:type="dxa"/>
            <w:vAlign w:val="center"/>
          </w:tcPr>
          <w:p w14:paraId="6E3B6F92" w14:textId="77777777" w:rsidR="00827916" w:rsidRPr="00101C30" w:rsidRDefault="00827916" w:rsidP="000F6385">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counter clockwise</w:t>
            </w:r>
          </w:p>
        </w:tc>
        <w:tc>
          <w:tcPr>
            <w:tcW w:w="1417" w:type="dxa"/>
            <w:vAlign w:val="center"/>
          </w:tcPr>
          <w:p w14:paraId="79342F11" w14:textId="624B7A14" w:rsidR="00827916" w:rsidRPr="00101C30" w:rsidRDefault="009C1DB7" w:rsidP="000F6385">
            <w:pPr>
              <w:widowControl/>
              <w:jc w:val="center"/>
              <w:rPr>
                <w:rFonts w:eastAsia="Batang" w:cs="Arial"/>
                <w:i/>
                <w:iCs/>
                <w:color w:val="000000" w:themeColor="text1"/>
                <w:sz w:val="16"/>
                <w:szCs w:val="16"/>
                <w:lang w:val="en-AU" w:bidi="ar-SA"/>
              </w:rPr>
            </w:pPr>
            <w:r>
              <w:rPr>
                <w:rFonts w:cs="Arial"/>
                <w:i/>
                <w:iCs/>
                <w:sz w:val="16"/>
                <w:szCs w:val="16"/>
                <w:lang w:eastAsia="en-GB" w:bidi="ar-SA"/>
              </w:rPr>
              <w:t>Cauliflower mosaic virus</w:t>
            </w:r>
          </w:p>
        </w:tc>
        <w:tc>
          <w:tcPr>
            <w:tcW w:w="3544" w:type="dxa"/>
            <w:vAlign w:val="center"/>
          </w:tcPr>
          <w:p w14:paraId="61FEA944" w14:textId="4377AD2F" w:rsidR="00827916" w:rsidRPr="00101C30" w:rsidRDefault="009C1DB7" w:rsidP="000F6385">
            <w:pPr>
              <w:widowControl/>
              <w:ind w:left="34"/>
              <w:rPr>
                <w:rFonts w:eastAsia="Batang" w:cs="Arial"/>
                <w:iCs/>
                <w:color w:val="000000" w:themeColor="text1"/>
                <w:sz w:val="16"/>
                <w:szCs w:val="16"/>
                <w:lang w:val="en-AU" w:bidi="ar-SA"/>
              </w:rPr>
            </w:pPr>
            <w:r w:rsidRPr="00101C30">
              <w:rPr>
                <w:rFonts w:cs="Arial"/>
                <w:sz w:val="16"/>
                <w:szCs w:val="16"/>
                <w:lang w:eastAsia="en-GB" w:bidi="ar-SA"/>
              </w:rPr>
              <w:t xml:space="preserve">3´ untranslated region of the </w:t>
            </w:r>
            <w:r>
              <w:rPr>
                <w:rFonts w:cs="Arial"/>
                <w:sz w:val="16"/>
                <w:szCs w:val="16"/>
                <w:lang w:eastAsia="en-GB" w:bidi="ar-SA"/>
              </w:rPr>
              <w:t>35S</w:t>
            </w:r>
            <w:r w:rsidRPr="00101C30">
              <w:rPr>
                <w:rFonts w:cs="Arial"/>
                <w:sz w:val="16"/>
                <w:szCs w:val="16"/>
                <w:lang w:eastAsia="en-GB" w:bidi="ar-SA"/>
              </w:rPr>
              <w:t xml:space="preserve"> gene containing the termination sequence </w:t>
            </w:r>
            <w:r w:rsidRPr="00101C30">
              <w:rPr>
                <w:rFonts w:eastAsia="Batang" w:cs="Arial"/>
                <w:iCs/>
                <w:color w:val="000000" w:themeColor="text1"/>
                <w:sz w:val="16"/>
                <w:szCs w:val="16"/>
                <w:lang w:val="en-AU" w:bidi="ar-SA"/>
              </w:rPr>
              <w:t>(</w:t>
            </w:r>
            <w:r w:rsidRPr="00B2579A">
              <w:rPr>
                <w:rFonts w:eastAsia="Batang" w:cs="Arial"/>
                <w:iCs/>
                <w:color w:val="000000" w:themeColor="text1"/>
                <w:sz w:val="16"/>
                <w:szCs w:val="16"/>
                <w:lang w:val="en-AU" w:bidi="ar-SA"/>
              </w:rPr>
              <w:t>Sanfaçon et al. 1991</w:t>
            </w:r>
            <w:r w:rsidRPr="00101C30">
              <w:rPr>
                <w:rFonts w:eastAsia="Batang" w:cs="Arial"/>
                <w:iCs/>
                <w:color w:val="000000" w:themeColor="text1"/>
                <w:sz w:val="16"/>
                <w:szCs w:val="16"/>
                <w:lang w:val="en-AU" w:bidi="ar-SA"/>
              </w:rPr>
              <w:t>)</w:t>
            </w:r>
          </w:p>
        </w:tc>
      </w:tr>
      <w:tr w:rsidR="00827916" w:rsidRPr="00260A1F" w14:paraId="5430479E" w14:textId="77777777" w:rsidTr="006F04C6">
        <w:trPr>
          <w:trHeight w:val="454"/>
          <w:jc w:val="center"/>
        </w:trPr>
        <w:tc>
          <w:tcPr>
            <w:tcW w:w="1838" w:type="dxa"/>
            <w:shd w:val="clear" w:color="auto" w:fill="D9D9D9" w:themeFill="background1" w:themeFillShade="D9"/>
            <w:vAlign w:val="center"/>
          </w:tcPr>
          <w:p w14:paraId="6D1AC678" w14:textId="77777777" w:rsidR="00827916" w:rsidRPr="00101C30" w:rsidRDefault="00827916" w:rsidP="000F6385">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shd w:val="clear" w:color="auto" w:fill="D9D9D9" w:themeFill="background1" w:themeFillShade="D9"/>
            <w:vAlign w:val="center"/>
          </w:tcPr>
          <w:p w14:paraId="373CE527" w14:textId="4544D9B0" w:rsidR="00827916" w:rsidRPr="00101C30" w:rsidRDefault="00495DDF" w:rsidP="000F6385">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5601 - 5612</w:t>
            </w:r>
          </w:p>
        </w:tc>
        <w:tc>
          <w:tcPr>
            <w:tcW w:w="1276" w:type="dxa"/>
            <w:shd w:val="clear" w:color="auto" w:fill="D9D9D9" w:themeFill="background1" w:themeFillShade="D9"/>
            <w:vAlign w:val="center"/>
          </w:tcPr>
          <w:p w14:paraId="362FE7CE" w14:textId="77777777" w:rsidR="00827916" w:rsidRPr="00101C30" w:rsidRDefault="00827916" w:rsidP="000F6385">
            <w:pPr>
              <w:widowControl/>
              <w:jc w:val="center"/>
              <w:rPr>
                <w:rFonts w:eastAsia="Batang" w:cs="Arial"/>
                <w:iCs/>
                <w:color w:val="000000" w:themeColor="text1"/>
                <w:sz w:val="16"/>
                <w:szCs w:val="16"/>
                <w:lang w:val="en-AU" w:bidi="ar-SA"/>
              </w:rPr>
            </w:pPr>
          </w:p>
        </w:tc>
        <w:tc>
          <w:tcPr>
            <w:tcW w:w="1417" w:type="dxa"/>
            <w:shd w:val="clear" w:color="auto" w:fill="D9D9D9" w:themeFill="background1" w:themeFillShade="D9"/>
            <w:vAlign w:val="center"/>
          </w:tcPr>
          <w:p w14:paraId="66DC8D1F" w14:textId="1E36CC2A" w:rsidR="00827916" w:rsidRPr="00101C30" w:rsidRDefault="00827916" w:rsidP="000F6385">
            <w:pPr>
              <w:widowControl/>
              <w:jc w:val="center"/>
              <w:rPr>
                <w:rFonts w:eastAsia="Batang" w:cs="Arial"/>
                <w:i/>
                <w:iCs/>
                <w:color w:val="000000" w:themeColor="text1"/>
                <w:sz w:val="16"/>
                <w:szCs w:val="16"/>
                <w:lang w:val="en-AU" w:bidi="ar-SA"/>
              </w:rPr>
            </w:pPr>
          </w:p>
        </w:tc>
        <w:tc>
          <w:tcPr>
            <w:tcW w:w="3544" w:type="dxa"/>
            <w:shd w:val="clear" w:color="auto" w:fill="D9D9D9" w:themeFill="background1" w:themeFillShade="D9"/>
            <w:vAlign w:val="center"/>
          </w:tcPr>
          <w:p w14:paraId="361EBC73" w14:textId="6DB30F50" w:rsidR="00827916" w:rsidRPr="00101C30" w:rsidRDefault="00827916" w:rsidP="000F6385">
            <w:pPr>
              <w:widowControl/>
              <w:ind w:left="34"/>
              <w:rPr>
                <w:rFonts w:eastAsia="Batang" w:cs="Arial"/>
                <w:iCs/>
                <w:color w:val="000000" w:themeColor="text1"/>
                <w:sz w:val="16"/>
                <w:szCs w:val="16"/>
                <w:lang w:val="en-AU" w:bidi="ar-SA"/>
              </w:rPr>
            </w:pPr>
          </w:p>
        </w:tc>
      </w:tr>
      <w:tr w:rsidR="00827916" w:rsidRPr="00A30F7D" w14:paraId="44374D1F" w14:textId="77777777" w:rsidTr="006F04C6">
        <w:trPr>
          <w:trHeight w:val="454"/>
          <w:jc w:val="center"/>
        </w:trPr>
        <w:tc>
          <w:tcPr>
            <w:tcW w:w="1838" w:type="dxa"/>
            <w:vAlign w:val="center"/>
          </w:tcPr>
          <w:p w14:paraId="380B79E0" w14:textId="7AF50160" w:rsidR="00827916" w:rsidRPr="009C1DB7" w:rsidRDefault="009C1DB7" w:rsidP="000F6385">
            <w:pPr>
              <w:widowControl/>
              <w:rPr>
                <w:rFonts w:eastAsia="Batang" w:cs="Arial"/>
                <w:i/>
                <w:iCs/>
                <w:color w:val="000000" w:themeColor="text1"/>
                <w:sz w:val="16"/>
                <w:szCs w:val="16"/>
                <w:lang w:val="en-AU" w:bidi="ar-SA"/>
              </w:rPr>
            </w:pPr>
            <w:r w:rsidRPr="009C1DB7">
              <w:rPr>
                <w:rFonts w:eastAsia="Batang" w:cs="Arial"/>
                <w:i/>
                <w:iCs/>
                <w:color w:val="000000" w:themeColor="text1"/>
                <w:sz w:val="16"/>
                <w:szCs w:val="16"/>
                <w:lang w:val="en-AU" w:bidi="ar-SA"/>
              </w:rPr>
              <w:t>hppdPf-4Pa</w:t>
            </w:r>
          </w:p>
        </w:tc>
        <w:tc>
          <w:tcPr>
            <w:tcW w:w="1134" w:type="dxa"/>
            <w:vAlign w:val="center"/>
          </w:tcPr>
          <w:p w14:paraId="2B4F51E8" w14:textId="0D452240" w:rsidR="00827916" w:rsidRPr="00101C30" w:rsidRDefault="00495DDF" w:rsidP="000F6385">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5613 - 6689</w:t>
            </w:r>
          </w:p>
        </w:tc>
        <w:tc>
          <w:tcPr>
            <w:tcW w:w="1276" w:type="dxa"/>
            <w:vAlign w:val="center"/>
          </w:tcPr>
          <w:p w14:paraId="1D05E85B" w14:textId="2C29FD75" w:rsidR="00827916" w:rsidRPr="00101C30" w:rsidRDefault="009C1DB7" w:rsidP="000F6385">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counter clockwise</w:t>
            </w:r>
          </w:p>
        </w:tc>
        <w:tc>
          <w:tcPr>
            <w:tcW w:w="1417" w:type="dxa"/>
            <w:vAlign w:val="center"/>
          </w:tcPr>
          <w:p w14:paraId="06AFB1F2" w14:textId="6898592A" w:rsidR="00827916" w:rsidRPr="00101C30" w:rsidRDefault="009C1DB7" w:rsidP="000F6385">
            <w:pPr>
              <w:widowControl/>
              <w:jc w:val="center"/>
              <w:rPr>
                <w:rFonts w:eastAsia="Batang" w:cs="Arial"/>
                <w:i/>
                <w:iCs/>
                <w:color w:val="000000" w:themeColor="text1"/>
                <w:sz w:val="16"/>
                <w:szCs w:val="16"/>
                <w:lang w:val="en-AU" w:bidi="ar-SA"/>
              </w:rPr>
            </w:pPr>
            <w:r w:rsidRPr="00101C30">
              <w:rPr>
                <w:rFonts w:eastAsiaTheme="minorHAnsi" w:cs="Arial"/>
                <w:i/>
                <w:color w:val="000000" w:themeColor="text1"/>
                <w:sz w:val="16"/>
                <w:szCs w:val="16"/>
              </w:rPr>
              <w:t>Pseudomonas fluorescens</w:t>
            </w:r>
          </w:p>
        </w:tc>
        <w:tc>
          <w:tcPr>
            <w:tcW w:w="3544" w:type="dxa"/>
            <w:vAlign w:val="center"/>
          </w:tcPr>
          <w:p w14:paraId="1D4A3DF3" w14:textId="2147934C" w:rsidR="00827916" w:rsidRPr="00101C30" w:rsidRDefault="00495DDF" w:rsidP="000F6385">
            <w:pPr>
              <w:widowControl/>
              <w:ind w:left="34"/>
              <w:rPr>
                <w:rFonts w:eastAsia="Batang" w:cs="Arial"/>
                <w:iCs/>
                <w:color w:val="000000" w:themeColor="text1"/>
                <w:sz w:val="16"/>
                <w:szCs w:val="16"/>
                <w:lang w:bidi="ar-SA"/>
              </w:rPr>
            </w:pPr>
            <w:r>
              <w:rPr>
                <w:rFonts w:eastAsia="Batang" w:cs="Arial"/>
                <w:iCs/>
                <w:color w:val="000000" w:themeColor="text1"/>
                <w:sz w:val="16"/>
                <w:szCs w:val="16"/>
                <w:lang w:bidi="ar-SA"/>
              </w:rPr>
              <w:t>c</w:t>
            </w:r>
            <w:r w:rsidR="009C1DB7">
              <w:rPr>
                <w:rFonts w:eastAsia="Batang" w:cs="Arial"/>
                <w:iCs/>
                <w:color w:val="000000" w:themeColor="text1"/>
                <w:sz w:val="16"/>
                <w:szCs w:val="16"/>
                <w:lang w:bidi="ar-SA"/>
              </w:rPr>
              <w:t xml:space="preserve">oding sequence of a variant of the </w:t>
            </w:r>
            <w:r>
              <w:rPr>
                <w:rFonts w:eastAsia="Batang" w:cs="Arial"/>
                <w:iCs/>
                <w:color w:val="000000" w:themeColor="text1"/>
                <w:sz w:val="16"/>
                <w:szCs w:val="16"/>
                <w:lang w:bidi="ar-SA"/>
              </w:rPr>
              <w:t>HPPD</w:t>
            </w:r>
            <w:r w:rsidR="009C1DB7">
              <w:rPr>
                <w:rFonts w:eastAsia="Batang" w:cs="Arial"/>
                <w:iCs/>
                <w:color w:val="000000" w:themeColor="text1"/>
                <w:sz w:val="16"/>
                <w:szCs w:val="16"/>
                <w:lang w:bidi="ar-SA"/>
              </w:rPr>
              <w:t xml:space="preserve"> gene </w:t>
            </w:r>
            <w:r>
              <w:rPr>
                <w:rFonts w:eastAsia="Batang" w:cs="Arial"/>
                <w:iCs/>
                <w:color w:val="000000" w:themeColor="text1"/>
                <w:sz w:val="16"/>
                <w:szCs w:val="16"/>
                <w:lang w:bidi="ar-SA"/>
              </w:rPr>
              <w:t>(Porée et al.</w:t>
            </w:r>
            <w:r w:rsidR="009C1DB7" w:rsidRPr="009C1DB7">
              <w:rPr>
                <w:rFonts w:eastAsia="Batang" w:cs="Arial"/>
                <w:iCs/>
                <w:color w:val="000000" w:themeColor="text1"/>
                <w:sz w:val="16"/>
                <w:szCs w:val="16"/>
                <w:lang w:bidi="ar-SA"/>
              </w:rPr>
              <w:t xml:space="preserve"> 2014)</w:t>
            </w:r>
          </w:p>
        </w:tc>
      </w:tr>
      <w:tr w:rsidR="00495DDF" w:rsidRPr="00A30F7D" w14:paraId="2ADE8E39" w14:textId="77777777" w:rsidTr="006F04C6">
        <w:trPr>
          <w:trHeight w:val="624"/>
          <w:jc w:val="center"/>
        </w:trPr>
        <w:tc>
          <w:tcPr>
            <w:tcW w:w="1838" w:type="dxa"/>
            <w:shd w:val="clear" w:color="auto" w:fill="D9D9D9" w:themeFill="background1" w:themeFillShade="D9"/>
            <w:vAlign w:val="center"/>
          </w:tcPr>
          <w:p w14:paraId="189680CC" w14:textId="6E33F7A2" w:rsidR="00495DDF" w:rsidRPr="00101C30" w:rsidRDefault="00495DDF" w:rsidP="00495DDF">
            <w:pPr>
              <w:widowControl/>
              <w:rPr>
                <w:rFonts w:eastAsia="Batang" w:cs="Arial"/>
                <w:iCs/>
                <w:color w:val="000000" w:themeColor="text1"/>
                <w:sz w:val="16"/>
                <w:szCs w:val="16"/>
                <w:lang w:val="en-AU" w:bidi="ar-SA"/>
              </w:rPr>
            </w:pPr>
            <w:r>
              <w:rPr>
                <w:rFonts w:eastAsia="Batang" w:cs="Arial"/>
                <w:i/>
                <w:iCs/>
                <w:color w:val="000000" w:themeColor="text1"/>
                <w:sz w:val="16"/>
                <w:szCs w:val="16"/>
                <w:lang w:val="en-AU" w:bidi="ar-SA"/>
              </w:rPr>
              <w:t>TPotpY-1Pf</w:t>
            </w:r>
          </w:p>
        </w:tc>
        <w:tc>
          <w:tcPr>
            <w:tcW w:w="1134" w:type="dxa"/>
            <w:shd w:val="clear" w:color="auto" w:fill="D9D9D9" w:themeFill="background1" w:themeFillShade="D9"/>
            <w:vAlign w:val="center"/>
          </w:tcPr>
          <w:p w14:paraId="60D7C01D" w14:textId="232F0A5A" w:rsidR="00495DDF" w:rsidRPr="00101C30" w:rsidRDefault="00495DDF" w:rsidP="00495DD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6690 - 7061</w:t>
            </w:r>
          </w:p>
        </w:tc>
        <w:tc>
          <w:tcPr>
            <w:tcW w:w="1276" w:type="dxa"/>
            <w:shd w:val="clear" w:color="auto" w:fill="D9D9D9" w:themeFill="background1" w:themeFillShade="D9"/>
            <w:vAlign w:val="center"/>
          </w:tcPr>
          <w:p w14:paraId="4FF2069B" w14:textId="18766960" w:rsidR="00495DDF" w:rsidRPr="00101C30" w:rsidRDefault="00495DDF" w:rsidP="00495DDF">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counter clockwise</w:t>
            </w:r>
          </w:p>
        </w:tc>
        <w:tc>
          <w:tcPr>
            <w:tcW w:w="1417" w:type="dxa"/>
            <w:shd w:val="clear" w:color="auto" w:fill="D9D9D9" w:themeFill="background1" w:themeFillShade="D9"/>
            <w:vAlign w:val="center"/>
          </w:tcPr>
          <w:p w14:paraId="62E004F3" w14:textId="77777777" w:rsidR="00495DDF" w:rsidRPr="00101C30" w:rsidRDefault="00495DDF" w:rsidP="00495DDF">
            <w:pPr>
              <w:widowControl/>
              <w:jc w:val="center"/>
              <w:rPr>
                <w:rFonts w:eastAsia="Batang" w:cs="Arial"/>
                <w:i/>
                <w:iCs/>
                <w:color w:val="000000" w:themeColor="text1"/>
                <w:sz w:val="16"/>
                <w:szCs w:val="16"/>
                <w:lang w:val="en-AU" w:bidi="ar-SA"/>
              </w:rPr>
            </w:pPr>
            <w:r w:rsidRPr="00101C30">
              <w:rPr>
                <w:rFonts w:eastAsia="Batang" w:cs="Arial"/>
                <w:i/>
                <w:iCs/>
                <w:color w:val="000000" w:themeColor="text1"/>
                <w:sz w:val="16"/>
                <w:szCs w:val="16"/>
                <w:lang w:val="en-AU" w:bidi="ar-SA"/>
              </w:rPr>
              <w:t>Helianthus annuus</w:t>
            </w:r>
          </w:p>
          <w:p w14:paraId="12F43BA2" w14:textId="472AC06F" w:rsidR="00495DDF" w:rsidRPr="00101C30" w:rsidRDefault="00495DDF" w:rsidP="00495DDF">
            <w:pPr>
              <w:widowControl/>
              <w:jc w:val="center"/>
              <w:rPr>
                <w:rFonts w:eastAsia="Batang" w:cs="Arial"/>
                <w:i/>
                <w:iCs/>
                <w:color w:val="000000" w:themeColor="text1"/>
                <w:sz w:val="16"/>
                <w:szCs w:val="16"/>
                <w:lang w:val="en-AU" w:bidi="ar-SA"/>
              </w:rPr>
            </w:pPr>
            <w:r w:rsidRPr="00101C30">
              <w:rPr>
                <w:rFonts w:eastAsia="Batang" w:cs="Arial"/>
                <w:i/>
                <w:iCs/>
                <w:color w:val="000000" w:themeColor="text1"/>
                <w:sz w:val="16"/>
                <w:szCs w:val="16"/>
                <w:lang w:val="en-AU" w:bidi="ar-SA"/>
              </w:rPr>
              <w:t>Zea mays</w:t>
            </w:r>
          </w:p>
        </w:tc>
        <w:tc>
          <w:tcPr>
            <w:tcW w:w="3544" w:type="dxa"/>
            <w:shd w:val="clear" w:color="auto" w:fill="D9D9D9" w:themeFill="background1" w:themeFillShade="D9"/>
            <w:vAlign w:val="center"/>
          </w:tcPr>
          <w:p w14:paraId="3EA068BA" w14:textId="19412F6D" w:rsidR="00495DDF" w:rsidRPr="00101C30" w:rsidRDefault="00495DDF" w:rsidP="00495DDF">
            <w:pPr>
              <w:widowControl/>
              <w:ind w:left="34"/>
              <w:rPr>
                <w:rFonts w:eastAsia="Batang" w:cs="Arial"/>
                <w:iCs/>
                <w:color w:val="000000" w:themeColor="text1"/>
                <w:sz w:val="16"/>
                <w:szCs w:val="16"/>
                <w:lang w:bidi="ar-SA"/>
              </w:rPr>
            </w:pPr>
            <w:r w:rsidRPr="00101C30">
              <w:rPr>
                <w:rFonts w:eastAsia="Batang" w:cs="Arial"/>
                <w:iCs/>
                <w:color w:val="000000" w:themeColor="text1"/>
                <w:sz w:val="16"/>
                <w:szCs w:val="16"/>
                <w:lang w:val="en-AU" w:bidi="ar-SA"/>
              </w:rPr>
              <w:t>coding sequence of an optimized transit peptide derivative</w:t>
            </w:r>
            <w:r>
              <w:rPr>
                <w:rFonts w:eastAsia="Batang" w:cs="Arial"/>
                <w:iCs/>
                <w:color w:val="000000" w:themeColor="text1"/>
                <w:sz w:val="16"/>
                <w:szCs w:val="16"/>
                <w:lang w:val="en-AU" w:bidi="ar-SA"/>
              </w:rPr>
              <w:t xml:space="preserve"> from</w:t>
            </w:r>
            <w:r w:rsidRPr="00101C30">
              <w:rPr>
                <w:rFonts w:eastAsia="Batang" w:cs="Arial"/>
                <w:iCs/>
                <w:color w:val="000000" w:themeColor="text1"/>
                <w:sz w:val="16"/>
                <w:szCs w:val="16"/>
                <w:lang w:val="en-AU" w:bidi="ar-SA"/>
              </w:rPr>
              <w:t xml:space="preserve"> the RuBisCO small subunit gene</w:t>
            </w:r>
            <w:r>
              <w:rPr>
                <w:rFonts w:eastAsia="Batang" w:cs="Arial"/>
                <w:iCs/>
                <w:color w:val="000000" w:themeColor="text1"/>
                <w:sz w:val="16"/>
                <w:szCs w:val="16"/>
                <w:lang w:val="en-AU" w:bidi="ar-SA"/>
              </w:rPr>
              <w:t xml:space="preserve"> (Lebrun et al.</w:t>
            </w:r>
            <w:r w:rsidRPr="00101C30">
              <w:rPr>
                <w:rFonts w:eastAsia="Batang" w:cs="Arial"/>
                <w:iCs/>
                <w:color w:val="000000" w:themeColor="text1"/>
                <w:sz w:val="16"/>
                <w:szCs w:val="16"/>
                <w:lang w:val="en-AU" w:bidi="ar-SA"/>
              </w:rPr>
              <w:t xml:space="preserve"> 1996)</w:t>
            </w:r>
          </w:p>
        </w:tc>
      </w:tr>
      <w:tr w:rsidR="00495DDF" w:rsidRPr="00A30F7D" w14:paraId="431C55E9" w14:textId="77777777" w:rsidTr="006F04C6">
        <w:trPr>
          <w:trHeight w:val="454"/>
          <w:jc w:val="center"/>
        </w:trPr>
        <w:tc>
          <w:tcPr>
            <w:tcW w:w="1838" w:type="dxa"/>
            <w:vAlign w:val="center"/>
          </w:tcPr>
          <w:p w14:paraId="3702F4B4" w14:textId="4DB00A84" w:rsidR="00495DDF" w:rsidRPr="00101C30" w:rsidRDefault="00495DDF" w:rsidP="00495DDF">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vAlign w:val="center"/>
          </w:tcPr>
          <w:p w14:paraId="0772689F" w14:textId="07EE3FF5" w:rsidR="00495DDF" w:rsidRPr="00101C30" w:rsidRDefault="00495DDF" w:rsidP="00495DD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7062 - 7082</w:t>
            </w:r>
          </w:p>
        </w:tc>
        <w:tc>
          <w:tcPr>
            <w:tcW w:w="1276" w:type="dxa"/>
            <w:vAlign w:val="center"/>
          </w:tcPr>
          <w:p w14:paraId="4B245D53" w14:textId="6CA5FB8A" w:rsidR="00495DDF" w:rsidRPr="00101C30" w:rsidRDefault="00495DDF" w:rsidP="00495DDF">
            <w:pPr>
              <w:widowControl/>
              <w:jc w:val="center"/>
              <w:rPr>
                <w:rFonts w:eastAsia="Batang" w:cs="Arial"/>
                <w:iCs/>
                <w:color w:val="000000" w:themeColor="text1"/>
                <w:sz w:val="16"/>
                <w:szCs w:val="16"/>
                <w:lang w:val="en-AU" w:bidi="ar-SA"/>
              </w:rPr>
            </w:pPr>
          </w:p>
        </w:tc>
        <w:tc>
          <w:tcPr>
            <w:tcW w:w="1417" w:type="dxa"/>
            <w:vAlign w:val="center"/>
          </w:tcPr>
          <w:p w14:paraId="4D1D1085" w14:textId="5F39C959" w:rsidR="00495DDF" w:rsidRPr="00101C30" w:rsidRDefault="00495DDF" w:rsidP="00495DDF">
            <w:pPr>
              <w:widowControl/>
              <w:jc w:val="center"/>
              <w:rPr>
                <w:rFonts w:eastAsia="Batang" w:cs="Arial"/>
                <w:i/>
                <w:iCs/>
                <w:color w:val="000000" w:themeColor="text1"/>
                <w:sz w:val="16"/>
                <w:szCs w:val="16"/>
                <w:lang w:val="en-AU" w:bidi="ar-SA"/>
              </w:rPr>
            </w:pPr>
          </w:p>
        </w:tc>
        <w:tc>
          <w:tcPr>
            <w:tcW w:w="3544" w:type="dxa"/>
            <w:vAlign w:val="center"/>
          </w:tcPr>
          <w:p w14:paraId="6F0F9036" w14:textId="09C55247" w:rsidR="00495DDF" w:rsidRPr="00101C30" w:rsidRDefault="00495DDF" w:rsidP="00495DDF">
            <w:pPr>
              <w:widowControl/>
              <w:ind w:left="34"/>
              <w:rPr>
                <w:rFonts w:eastAsia="Batang" w:cs="Arial"/>
                <w:iCs/>
                <w:color w:val="000000" w:themeColor="text1"/>
                <w:sz w:val="16"/>
                <w:szCs w:val="16"/>
                <w:lang w:bidi="ar-SA"/>
              </w:rPr>
            </w:pPr>
          </w:p>
        </w:tc>
      </w:tr>
      <w:tr w:rsidR="00495DDF" w:rsidRPr="00A30F7D" w14:paraId="2DAE66D7" w14:textId="77777777" w:rsidTr="006F04C6">
        <w:trPr>
          <w:trHeight w:val="454"/>
          <w:jc w:val="center"/>
        </w:trPr>
        <w:tc>
          <w:tcPr>
            <w:tcW w:w="1838" w:type="dxa"/>
            <w:shd w:val="clear" w:color="auto" w:fill="D9D9D9" w:themeFill="background1" w:themeFillShade="D9"/>
            <w:vAlign w:val="center"/>
          </w:tcPr>
          <w:p w14:paraId="3118B3DF" w14:textId="3F76D623" w:rsidR="00495DDF" w:rsidRPr="00A57202" w:rsidRDefault="00495DDF" w:rsidP="00495DDF">
            <w:pPr>
              <w:widowControl/>
              <w:rPr>
                <w:rFonts w:eastAsia="Batang" w:cs="Arial"/>
                <w:i/>
                <w:iCs/>
                <w:color w:val="000000" w:themeColor="text1"/>
                <w:sz w:val="16"/>
                <w:szCs w:val="16"/>
                <w:lang w:val="en-AU" w:bidi="ar-SA"/>
              </w:rPr>
            </w:pPr>
            <w:r w:rsidRPr="00A57202">
              <w:rPr>
                <w:rFonts w:eastAsia="Batang" w:cs="Arial"/>
                <w:i/>
                <w:iCs/>
                <w:color w:val="000000" w:themeColor="text1"/>
                <w:sz w:val="16"/>
                <w:szCs w:val="16"/>
                <w:lang w:val="en-AU" w:bidi="ar-SA"/>
              </w:rPr>
              <w:t>Ltev</w:t>
            </w:r>
          </w:p>
        </w:tc>
        <w:tc>
          <w:tcPr>
            <w:tcW w:w="1134" w:type="dxa"/>
            <w:shd w:val="clear" w:color="auto" w:fill="D9D9D9" w:themeFill="background1" w:themeFillShade="D9"/>
            <w:vAlign w:val="center"/>
          </w:tcPr>
          <w:p w14:paraId="1BB93EE4" w14:textId="21328C8C" w:rsidR="00495DDF" w:rsidRPr="00101C30" w:rsidRDefault="00873F0A" w:rsidP="00495DD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7083 - 7209</w:t>
            </w:r>
          </w:p>
        </w:tc>
        <w:tc>
          <w:tcPr>
            <w:tcW w:w="1276" w:type="dxa"/>
            <w:shd w:val="clear" w:color="auto" w:fill="D9D9D9" w:themeFill="background1" w:themeFillShade="D9"/>
            <w:vAlign w:val="center"/>
          </w:tcPr>
          <w:p w14:paraId="2CAE723E" w14:textId="5BBB8464" w:rsidR="00495DDF" w:rsidRPr="00101C30" w:rsidRDefault="00495DDF" w:rsidP="00495DDF">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counter clockwise</w:t>
            </w:r>
          </w:p>
        </w:tc>
        <w:tc>
          <w:tcPr>
            <w:tcW w:w="1417" w:type="dxa"/>
            <w:shd w:val="clear" w:color="auto" w:fill="D9D9D9" w:themeFill="background1" w:themeFillShade="D9"/>
            <w:vAlign w:val="center"/>
          </w:tcPr>
          <w:p w14:paraId="3B617DF4" w14:textId="66037053" w:rsidR="00495DDF" w:rsidRPr="00495DDF" w:rsidRDefault="00495DDF" w:rsidP="00495DDF">
            <w:pPr>
              <w:widowControl/>
              <w:jc w:val="center"/>
              <w:rPr>
                <w:rFonts w:eastAsia="Batang" w:cs="Arial"/>
                <w:i/>
                <w:iCs/>
                <w:color w:val="000000" w:themeColor="text1"/>
                <w:sz w:val="16"/>
                <w:szCs w:val="16"/>
                <w:lang w:val="en-AU" w:bidi="ar-SA"/>
              </w:rPr>
            </w:pPr>
            <w:r w:rsidRPr="00495DDF">
              <w:rPr>
                <w:rFonts w:eastAsia="Batang" w:cs="Arial"/>
                <w:i/>
                <w:iCs/>
                <w:color w:val="000000" w:themeColor="text1"/>
                <w:sz w:val="16"/>
                <w:szCs w:val="16"/>
                <w:lang w:bidi="ar-SA"/>
              </w:rPr>
              <w:t>Tobacco etch virus</w:t>
            </w:r>
          </w:p>
        </w:tc>
        <w:tc>
          <w:tcPr>
            <w:tcW w:w="3544" w:type="dxa"/>
            <w:shd w:val="clear" w:color="auto" w:fill="D9D9D9" w:themeFill="background1" w:themeFillShade="D9"/>
            <w:vAlign w:val="center"/>
          </w:tcPr>
          <w:p w14:paraId="2629D3C8" w14:textId="1ED07669" w:rsidR="00495DDF" w:rsidRPr="00101C30" w:rsidRDefault="00495DDF" w:rsidP="00495DDF">
            <w:pPr>
              <w:widowControl/>
              <w:ind w:left="34"/>
              <w:rPr>
                <w:rFonts w:eastAsia="Batang" w:cs="Arial"/>
                <w:iCs/>
                <w:color w:val="000000" w:themeColor="text1"/>
                <w:sz w:val="16"/>
                <w:szCs w:val="16"/>
                <w:lang w:bidi="ar-SA"/>
              </w:rPr>
            </w:pPr>
            <w:r>
              <w:rPr>
                <w:rFonts w:eastAsia="Batang" w:cs="Arial"/>
                <w:iCs/>
                <w:color w:val="000000" w:themeColor="text1"/>
                <w:sz w:val="16"/>
                <w:szCs w:val="16"/>
                <w:lang w:bidi="ar-SA"/>
              </w:rPr>
              <w:t>leader sequence of the virus genomic RNA (Allison et al.</w:t>
            </w:r>
            <w:r w:rsidRPr="00495DDF">
              <w:rPr>
                <w:rFonts w:eastAsia="Batang" w:cs="Arial"/>
                <w:iCs/>
                <w:color w:val="000000" w:themeColor="text1"/>
                <w:sz w:val="16"/>
                <w:szCs w:val="16"/>
                <w:lang w:bidi="ar-SA"/>
              </w:rPr>
              <w:t xml:space="preserve"> 1985)</w:t>
            </w:r>
          </w:p>
        </w:tc>
      </w:tr>
      <w:tr w:rsidR="00495DDF" w:rsidRPr="00A30F7D" w14:paraId="618BF7C0" w14:textId="77777777" w:rsidTr="006F04C6">
        <w:trPr>
          <w:trHeight w:val="454"/>
          <w:jc w:val="center"/>
        </w:trPr>
        <w:tc>
          <w:tcPr>
            <w:tcW w:w="1838" w:type="dxa"/>
            <w:vAlign w:val="center"/>
          </w:tcPr>
          <w:p w14:paraId="16AC0F03" w14:textId="797E5593" w:rsidR="00495DDF" w:rsidRPr="00101C30" w:rsidRDefault="00495DDF" w:rsidP="00495DDF">
            <w:pPr>
              <w:widowControl/>
              <w:rPr>
                <w:rFonts w:eastAsia="Batang" w:cs="Arial"/>
                <w:i/>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vAlign w:val="center"/>
          </w:tcPr>
          <w:p w14:paraId="61C8B5D0" w14:textId="3BA62F05" w:rsidR="00495DDF" w:rsidRPr="00101C30" w:rsidRDefault="00873F0A" w:rsidP="00495DD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7210 - 7215</w:t>
            </w:r>
          </w:p>
        </w:tc>
        <w:tc>
          <w:tcPr>
            <w:tcW w:w="1276" w:type="dxa"/>
            <w:vAlign w:val="center"/>
          </w:tcPr>
          <w:p w14:paraId="6BF3D097" w14:textId="7E0A2D3F" w:rsidR="00495DDF" w:rsidRPr="00101C30" w:rsidRDefault="00495DDF" w:rsidP="00495DDF">
            <w:pPr>
              <w:widowControl/>
              <w:jc w:val="center"/>
              <w:rPr>
                <w:rFonts w:eastAsia="Batang" w:cs="Arial"/>
                <w:iCs/>
                <w:color w:val="000000" w:themeColor="text1"/>
                <w:sz w:val="16"/>
                <w:szCs w:val="16"/>
                <w:lang w:val="en-AU" w:bidi="ar-SA"/>
              </w:rPr>
            </w:pPr>
          </w:p>
        </w:tc>
        <w:tc>
          <w:tcPr>
            <w:tcW w:w="1417" w:type="dxa"/>
            <w:vAlign w:val="center"/>
          </w:tcPr>
          <w:p w14:paraId="30F6A007" w14:textId="22F076CC" w:rsidR="00495DDF" w:rsidRPr="00101C30" w:rsidRDefault="00495DDF" w:rsidP="00495DDF">
            <w:pPr>
              <w:widowControl/>
              <w:jc w:val="center"/>
              <w:rPr>
                <w:rFonts w:eastAsia="Batang" w:cs="Arial"/>
                <w:i/>
                <w:iCs/>
                <w:color w:val="000000" w:themeColor="text1"/>
                <w:sz w:val="16"/>
                <w:szCs w:val="16"/>
                <w:lang w:val="en-AU" w:bidi="ar-SA"/>
              </w:rPr>
            </w:pPr>
          </w:p>
        </w:tc>
        <w:tc>
          <w:tcPr>
            <w:tcW w:w="3544" w:type="dxa"/>
            <w:vAlign w:val="center"/>
          </w:tcPr>
          <w:p w14:paraId="0065EEEF" w14:textId="4AC5D7B1" w:rsidR="00495DDF" w:rsidRPr="00101C30" w:rsidRDefault="00495DDF" w:rsidP="00495DDF">
            <w:pPr>
              <w:widowControl/>
              <w:ind w:left="34"/>
              <w:rPr>
                <w:rFonts w:eastAsia="Batang" w:cs="Arial"/>
                <w:iCs/>
                <w:color w:val="000000" w:themeColor="text1"/>
                <w:sz w:val="16"/>
                <w:szCs w:val="16"/>
                <w:lang w:bidi="ar-SA"/>
              </w:rPr>
            </w:pPr>
          </w:p>
        </w:tc>
      </w:tr>
      <w:tr w:rsidR="00495DDF" w:rsidRPr="00A30F7D" w14:paraId="73BE0B5C" w14:textId="77777777" w:rsidTr="006F04C6">
        <w:trPr>
          <w:trHeight w:val="454"/>
          <w:jc w:val="center"/>
        </w:trPr>
        <w:tc>
          <w:tcPr>
            <w:tcW w:w="1838" w:type="dxa"/>
            <w:shd w:val="clear" w:color="auto" w:fill="D9D9D9" w:themeFill="background1" w:themeFillShade="D9"/>
            <w:vAlign w:val="center"/>
          </w:tcPr>
          <w:p w14:paraId="51AC720B" w14:textId="006E0F68" w:rsidR="00495DDF" w:rsidRPr="00A57202" w:rsidRDefault="00495DDF" w:rsidP="00495DDF">
            <w:pPr>
              <w:widowControl/>
              <w:rPr>
                <w:rFonts w:eastAsia="Batang" w:cs="Arial"/>
                <w:i/>
                <w:iCs/>
                <w:color w:val="000000" w:themeColor="text1"/>
                <w:sz w:val="16"/>
                <w:szCs w:val="16"/>
                <w:lang w:val="en-AU" w:bidi="ar-SA"/>
              </w:rPr>
            </w:pPr>
            <w:r w:rsidRPr="00A57202">
              <w:rPr>
                <w:rFonts w:eastAsia="Batang" w:cs="Arial"/>
                <w:i/>
                <w:iCs/>
                <w:color w:val="000000" w:themeColor="text1"/>
                <w:sz w:val="16"/>
                <w:szCs w:val="16"/>
                <w:lang w:val="en-AU" w:bidi="ar-SA"/>
              </w:rPr>
              <w:t>P2x35S</w:t>
            </w:r>
          </w:p>
        </w:tc>
        <w:tc>
          <w:tcPr>
            <w:tcW w:w="1134" w:type="dxa"/>
            <w:shd w:val="clear" w:color="auto" w:fill="D9D9D9" w:themeFill="background1" w:themeFillShade="D9"/>
            <w:vAlign w:val="center"/>
          </w:tcPr>
          <w:p w14:paraId="5F9FEA6F" w14:textId="62F63EE8" w:rsidR="00495DDF" w:rsidRPr="00101C30" w:rsidRDefault="00873F0A" w:rsidP="00495DD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7216 - 7965</w:t>
            </w:r>
          </w:p>
        </w:tc>
        <w:tc>
          <w:tcPr>
            <w:tcW w:w="1276" w:type="dxa"/>
            <w:shd w:val="clear" w:color="auto" w:fill="D9D9D9" w:themeFill="background1" w:themeFillShade="D9"/>
            <w:vAlign w:val="center"/>
          </w:tcPr>
          <w:p w14:paraId="14F18762" w14:textId="637CDDFC" w:rsidR="00495DDF" w:rsidRPr="00101C30" w:rsidRDefault="00873F0A" w:rsidP="00495DDF">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counter clockwise</w:t>
            </w:r>
          </w:p>
        </w:tc>
        <w:tc>
          <w:tcPr>
            <w:tcW w:w="1417" w:type="dxa"/>
            <w:shd w:val="clear" w:color="auto" w:fill="D9D9D9" w:themeFill="background1" w:themeFillShade="D9"/>
            <w:vAlign w:val="center"/>
          </w:tcPr>
          <w:p w14:paraId="10E37307" w14:textId="603937CC" w:rsidR="00495DDF" w:rsidRPr="00101C30" w:rsidRDefault="00495DDF" w:rsidP="00495DDF">
            <w:pPr>
              <w:widowControl/>
              <w:jc w:val="center"/>
              <w:rPr>
                <w:rFonts w:eastAsia="Batang" w:cs="Arial"/>
                <w:i/>
                <w:iCs/>
                <w:color w:val="000000" w:themeColor="text1"/>
                <w:sz w:val="16"/>
                <w:szCs w:val="16"/>
                <w:lang w:val="en-AU" w:bidi="ar-SA"/>
              </w:rPr>
            </w:pPr>
            <w:r>
              <w:rPr>
                <w:rFonts w:cs="Arial"/>
                <w:i/>
                <w:iCs/>
                <w:sz w:val="16"/>
                <w:szCs w:val="16"/>
                <w:lang w:eastAsia="en-GB" w:bidi="ar-SA"/>
              </w:rPr>
              <w:t>Cauliflower mosaic virus</w:t>
            </w:r>
          </w:p>
        </w:tc>
        <w:tc>
          <w:tcPr>
            <w:tcW w:w="3544" w:type="dxa"/>
            <w:shd w:val="clear" w:color="auto" w:fill="D9D9D9" w:themeFill="background1" w:themeFillShade="D9"/>
            <w:vAlign w:val="center"/>
          </w:tcPr>
          <w:p w14:paraId="00C07E68" w14:textId="295066AA" w:rsidR="00495DDF" w:rsidRPr="00101C30" w:rsidRDefault="00495DDF" w:rsidP="00495DDF">
            <w:pPr>
              <w:widowControl/>
              <w:rPr>
                <w:rFonts w:eastAsia="Batang" w:cs="Arial"/>
                <w:iCs/>
                <w:color w:val="000000" w:themeColor="text1"/>
                <w:sz w:val="16"/>
                <w:szCs w:val="16"/>
                <w:lang w:bidi="ar-SA"/>
              </w:rPr>
            </w:pPr>
            <w:r>
              <w:rPr>
                <w:rFonts w:eastAsia="Batang" w:cs="Arial"/>
                <w:iCs/>
                <w:color w:val="000000" w:themeColor="text1"/>
                <w:sz w:val="16"/>
                <w:szCs w:val="16"/>
                <w:lang w:bidi="ar-SA"/>
              </w:rPr>
              <w:t>double enhanced promoter sequence from the 35S gene (Kay et al. 1987)</w:t>
            </w:r>
          </w:p>
        </w:tc>
      </w:tr>
      <w:tr w:rsidR="00BE418D" w:rsidRPr="00A30F7D" w14:paraId="2C05FEDD" w14:textId="77777777" w:rsidTr="006F04C6">
        <w:trPr>
          <w:trHeight w:val="454"/>
          <w:jc w:val="center"/>
        </w:trPr>
        <w:tc>
          <w:tcPr>
            <w:tcW w:w="1838" w:type="dxa"/>
            <w:shd w:val="clear" w:color="auto" w:fill="DDD9C3" w:themeFill="background2" w:themeFillShade="E6"/>
            <w:vAlign w:val="center"/>
          </w:tcPr>
          <w:p w14:paraId="13DD5030" w14:textId="77777777" w:rsidR="00495DDF" w:rsidRPr="00101C30" w:rsidRDefault="00495DDF" w:rsidP="00495DDF">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Left border region</w:t>
            </w:r>
          </w:p>
        </w:tc>
        <w:tc>
          <w:tcPr>
            <w:tcW w:w="1134" w:type="dxa"/>
            <w:shd w:val="clear" w:color="auto" w:fill="DDD9C3" w:themeFill="background2" w:themeFillShade="E6"/>
            <w:vAlign w:val="center"/>
          </w:tcPr>
          <w:p w14:paraId="2C5A0254" w14:textId="0A031137" w:rsidR="00495DDF" w:rsidRPr="00101C30" w:rsidRDefault="00873F0A" w:rsidP="00495DD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7966 - 8092</w:t>
            </w:r>
          </w:p>
        </w:tc>
        <w:tc>
          <w:tcPr>
            <w:tcW w:w="1276" w:type="dxa"/>
            <w:shd w:val="clear" w:color="auto" w:fill="DDD9C3" w:themeFill="background2" w:themeFillShade="E6"/>
            <w:vAlign w:val="center"/>
          </w:tcPr>
          <w:p w14:paraId="14180F89" w14:textId="77777777" w:rsidR="00495DDF" w:rsidRPr="00101C30" w:rsidRDefault="00495DDF" w:rsidP="00495DDF">
            <w:pPr>
              <w:widowControl/>
              <w:jc w:val="center"/>
              <w:rPr>
                <w:rFonts w:eastAsia="Batang" w:cs="Arial"/>
                <w:iCs/>
                <w:color w:val="000000" w:themeColor="text1"/>
                <w:sz w:val="16"/>
                <w:szCs w:val="16"/>
                <w:lang w:val="en-AU" w:bidi="ar-SA"/>
              </w:rPr>
            </w:pPr>
          </w:p>
        </w:tc>
        <w:tc>
          <w:tcPr>
            <w:tcW w:w="1417" w:type="dxa"/>
            <w:shd w:val="clear" w:color="auto" w:fill="DDD9C3" w:themeFill="background2" w:themeFillShade="E6"/>
            <w:vAlign w:val="center"/>
          </w:tcPr>
          <w:p w14:paraId="7A18A507" w14:textId="6F357EB4" w:rsidR="00495DDF" w:rsidRPr="00101C30" w:rsidRDefault="00495DDF" w:rsidP="00495DDF">
            <w:pPr>
              <w:widowControl/>
              <w:jc w:val="center"/>
              <w:rPr>
                <w:rFonts w:cs="Arial"/>
                <w:i/>
                <w:iCs/>
                <w:sz w:val="16"/>
                <w:szCs w:val="16"/>
                <w:lang w:eastAsia="en-GB" w:bidi="ar-SA"/>
              </w:rPr>
            </w:pPr>
          </w:p>
        </w:tc>
        <w:tc>
          <w:tcPr>
            <w:tcW w:w="3544" w:type="dxa"/>
            <w:shd w:val="clear" w:color="auto" w:fill="DDD9C3" w:themeFill="background2" w:themeFillShade="E6"/>
            <w:vAlign w:val="center"/>
          </w:tcPr>
          <w:p w14:paraId="1E7FE878" w14:textId="6A919CB3" w:rsidR="00495DDF" w:rsidRPr="00101C30" w:rsidRDefault="00495DDF" w:rsidP="00495DDF">
            <w:pPr>
              <w:widowControl/>
              <w:ind w:left="34"/>
              <w:rPr>
                <w:rFonts w:cs="Arial"/>
                <w:sz w:val="16"/>
                <w:szCs w:val="16"/>
                <w:lang w:eastAsia="en-GB" w:bidi="ar-SA"/>
              </w:rPr>
            </w:pPr>
          </w:p>
        </w:tc>
      </w:tr>
      <w:tr w:rsidR="00BE418D" w:rsidRPr="00A30F7D" w14:paraId="093B2946" w14:textId="77777777" w:rsidTr="006F04C6">
        <w:trPr>
          <w:trHeight w:val="454"/>
          <w:jc w:val="center"/>
        </w:trPr>
        <w:tc>
          <w:tcPr>
            <w:tcW w:w="1838" w:type="dxa"/>
            <w:shd w:val="clear" w:color="auto" w:fill="DDD9C3" w:themeFill="background2" w:themeFillShade="E6"/>
            <w:vAlign w:val="center"/>
          </w:tcPr>
          <w:p w14:paraId="7D0F31C2" w14:textId="77777777" w:rsidR="00495DDF" w:rsidRPr="00101C30" w:rsidRDefault="00495DDF" w:rsidP="00495DDF">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Left Border (LB)</w:t>
            </w:r>
          </w:p>
        </w:tc>
        <w:tc>
          <w:tcPr>
            <w:tcW w:w="1134" w:type="dxa"/>
            <w:shd w:val="clear" w:color="auto" w:fill="DDD9C3" w:themeFill="background2" w:themeFillShade="E6"/>
            <w:vAlign w:val="center"/>
          </w:tcPr>
          <w:p w14:paraId="4AF4D8A3" w14:textId="68A55C79" w:rsidR="00495DDF" w:rsidRPr="00101C30" w:rsidRDefault="00873F0A" w:rsidP="00495DD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8093 - 8117</w:t>
            </w:r>
          </w:p>
        </w:tc>
        <w:tc>
          <w:tcPr>
            <w:tcW w:w="1276" w:type="dxa"/>
            <w:shd w:val="clear" w:color="auto" w:fill="DDD9C3" w:themeFill="background2" w:themeFillShade="E6"/>
            <w:vAlign w:val="center"/>
          </w:tcPr>
          <w:p w14:paraId="2E27B41E" w14:textId="77777777" w:rsidR="00495DDF" w:rsidRPr="00101C30" w:rsidRDefault="00495DDF" w:rsidP="00495DDF">
            <w:pPr>
              <w:widowControl/>
              <w:jc w:val="center"/>
              <w:rPr>
                <w:rFonts w:eastAsia="Batang" w:cs="Arial"/>
                <w:iCs/>
                <w:color w:val="000000" w:themeColor="text1"/>
                <w:sz w:val="16"/>
                <w:szCs w:val="16"/>
                <w:lang w:val="en-AU" w:bidi="ar-SA"/>
              </w:rPr>
            </w:pPr>
          </w:p>
        </w:tc>
        <w:tc>
          <w:tcPr>
            <w:tcW w:w="1417" w:type="dxa"/>
            <w:shd w:val="clear" w:color="auto" w:fill="DDD9C3" w:themeFill="background2" w:themeFillShade="E6"/>
            <w:vAlign w:val="center"/>
          </w:tcPr>
          <w:p w14:paraId="4435A0A4" w14:textId="77777777" w:rsidR="00495DDF" w:rsidRPr="00101C30" w:rsidRDefault="00495DDF" w:rsidP="00495DDF">
            <w:pPr>
              <w:widowControl/>
              <w:jc w:val="center"/>
              <w:rPr>
                <w:rFonts w:cs="Arial"/>
                <w:i/>
                <w:iCs/>
                <w:sz w:val="16"/>
                <w:szCs w:val="16"/>
                <w:lang w:eastAsia="en-GB" w:bidi="ar-SA"/>
              </w:rPr>
            </w:pPr>
            <w:r w:rsidRPr="00101C30">
              <w:rPr>
                <w:rFonts w:cs="Arial"/>
                <w:i/>
                <w:iCs/>
                <w:sz w:val="16"/>
                <w:szCs w:val="16"/>
                <w:lang w:eastAsia="en-GB" w:bidi="ar-SA"/>
              </w:rPr>
              <w:t>Agrobacterium tumefaciens</w:t>
            </w:r>
          </w:p>
        </w:tc>
        <w:tc>
          <w:tcPr>
            <w:tcW w:w="3544" w:type="dxa"/>
            <w:shd w:val="clear" w:color="auto" w:fill="DDD9C3" w:themeFill="background2" w:themeFillShade="E6"/>
            <w:vAlign w:val="center"/>
          </w:tcPr>
          <w:p w14:paraId="586080D4" w14:textId="75A6086B" w:rsidR="00495DDF" w:rsidRPr="00101C30" w:rsidRDefault="00495DDF" w:rsidP="00482D46">
            <w:pPr>
              <w:widowControl/>
              <w:ind w:left="34"/>
              <w:rPr>
                <w:rFonts w:cs="Arial"/>
                <w:sz w:val="16"/>
                <w:szCs w:val="16"/>
                <w:lang w:eastAsia="en-GB" w:bidi="ar-SA"/>
              </w:rPr>
            </w:pPr>
            <w:r w:rsidRPr="00101C30">
              <w:rPr>
                <w:rFonts w:cs="Arial"/>
                <w:sz w:val="16"/>
                <w:szCs w:val="16"/>
                <w:lang w:eastAsia="en-GB" w:bidi="ar-SA"/>
              </w:rPr>
              <w:t>Left border repeat from the T-DNA (Zambryski 1988)</w:t>
            </w:r>
          </w:p>
        </w:tc>
      </w:tr>
    </w:tbl>
    <w:p w14:paraId="6F648954" w14:textId="088A552A" w:rsidR="00B5556B" w:rsidRPr="002561C4" w:rsidRDefault="00B5556B" w:rsidP="008928DE">
      <w:pPr>
        <w:pStyle w:val="Heading2"/>
      </w:pPr>
      <w:bookmarkStart w:id="94" w:name="_Toc482255813"/>
      <w:bookmarkStart w:id="95" w:name="_Toc496169779"/>
      <w:bookmarkStart w:id="96" w:name="_Toc34830890"/>
      <w:r w:rsidRPr="002561C4">
        <w:t>3.3</w:t>
      </w:r>
      <w:r>
        <w:tab/>
        <w:t>Development of the soybean line from original transfor</w:t>
      </w:r>
      <w:bookmarkEnd w:id="94"/>
      <w:r>
        <w:t>mation</w:t>
      </w:r>
      <w:bookmarkEnd w:id="95"/>
      <w:bookmarkEnd w:id="96"/>
    </w:p>
    <w:p w14:paraId="7EF5544C" w14:textId="190CC3A1" w:rsidR="00B5556B" w:rsidRPr="00D55C3B" w:rsidRDefault="00B5556B" w:rsidP="00B5556B">
      <w:pPr>
        <w:spacing w:after="120"/>
        <w:rPr>
          <w:color w:val="000000" w:themeColor="text1"/>
        </w:rPr>
      </w:pPr>
      <w:r w:rsidRPr="00D55C3B">
        <w:rPr>
          <w:color w:val="000000" w:themeColor="text1"/>
        </w:rPr>
        <w:t>A breeding programme was undertaken for the purposes of:</w:t>
      </w:r>
    </w:p>
    <w:p w14:paraId="24AFE052" w14:textId="12FE9236" w:rsidR="00B5556B" w:rsidRPr="00D55C3B" w:rsidRDefault="00B5556B" w:rsidP="00B5556B">
      <w:pPr>
        <w:spacing w:after="60"/>
        <w:rPr>
          <w:color w:val="000000" w:themeColor="text1"/>
        </w:rPr>
      </w:pPr>
      <w:r w:rsidRPr="00D55C3B">
        <w:rPr>
          <w:color w:val="000000" w:themeColor="text1"/>
        </w:rPr>
        <w:t>•</w:t>
      </w:r>
      <w:r w:rsidRPr="00D55C3B">
        <w:rPr>
          <w:color w:val="000000" w:themeColor="text1"/>
        </w:rPr>
        <w:tab/>
        <w:t xml:space="preserve">obtaining generations suitable for analysing the characteristics of </w:t>
      </w:r>
      <w:r>
        <w:rPr>
          <w:color w:val="000000" w:themeColor="text1"/>
        </w:rPr>
        <w:t>GMB151</w:t>
      </w:r>
      <w:r w:rsidRPr="00D55C3B">
        <w:rPr>
          <w:color w:val="000000" w:themeColor="text1"/>
        </w:rPr>
        <w:t xml:space="preserve">  </w:t>
      </w:r>
    </w:p>
    <w:p w14:paraId="0A3D753F" w14:textId="75F8F6FC" w:rsidR="00B5556B" w:rsidRPr="00D55C3B" w:rsidRDefault="00B5556B" w:rsidP="00B5556B">
      <w:pPr>
        <w:ind w:left="567" w:hanging="567"/>
        <w:rPr>
          <w:color w:val="000000" w:themeColor="text1"/>
        </w:rPr>
      </w:pPr>
      <w:r w:rsidRPr="00D55C3B">
        <w:rPr>
          <w:color w:val="000000" w:themeColor="text1"/>
        </w:rPr>
        <w:t>•</w:t>
      </w:r>
      <w:r w:rsidRPr="00D55C3B">
        <w:rPr>
          <w:color w:val="000000" w:themeColor="text1"/>
        </w:rPr>
        <w:tab/>
        <w:t xml:space="preserve">ensuring that the </w:t>
      </w:r>
      <w:r>
        <w:rPr>
          <w:color w:val="000000" w:themeColor="text1"/>
        </w:rPr>
        <w:t>GMB151</w:t>
      </w:r>
      <w:r w:rsidRPr="00D55C3B">
        <w:rPr>
          <w:color w:val="000000" w:themeColor="text1"/>
        </w:rPr>
        <w:t xml:space="preserve"> event is incorporated into </w:t>
      </w:r>
      <w:r>
        <w:rPr>
          <w:color w:val="000000" w:themeColor="text1"/>
        </w:rPr>
        <w:t>elite line</w:t>
      </w:r>
      <w:r w:rsidR="00DC12DE">
        <w:rPr>
          <w:color w:val="000000" w:themeColor="text1"/>
        </w:rPr>
        <w:t>s</w:t>
      </w:r>
      <w:r w:rsidRPr="00D55C3B">
        <w:rPr>
          <w:color w:val="000000" w:themeColor="text1"/>
        </w:rPr>
        <w:t xml:space="preserve"> for commercialisation of isoxaflutole-tolerant and </w:t>
      </w:r>
      <w:r>
        <w:rPr>
          <w:color w:val="000000" w:themeColor="text1"/>
        </w:rPr>
        <w:t>nematode</w:t>
      </w:r>
      <w:r w:rsidRPr="00D55C3B">
        <w:rPr>
          <w:color w:val="000000" w:themeColor="text1"/>
        </w:rPr>
        <w:t>-</w:t>
      </w:r>
      <w:r>
        <w:rPr>
          <w:color w:val="000000" w:themeColor="text1"/>
        </w:rPr>
        <w:t>protected</w:t>
      </w:r>
      <w:r w:rsidRPr="00D55C3B">
        <w:rPr>
          <w:color w:val="000000" w:themeColor="text1"/>
        </w:rPr>
        <w:t xml:space="preserve"> </w:t>
      </w:r>
      <w:r>
        <w:rPr>
          <w:color w:val="000000" w:themeColor="text1"/>
        </w:rPr>
        <w:t>soybean</w:t>
      </w:r>
      <w:r w:rsidRPr="00D55C3B">
        <w:rPr>
          <w:color w:val="000000" w:themeColor="text1"/>
        </w:rPr>
        <w:t xml:space="preserve">. </w:t>
      </w:r>
    </w:p>
    <w:p w14:paraId="72C7A1FD" w14:textId="77777777" w:rsidR="00B5556B" w:rsidRDefault="00B5556B" w:rsidP="00B5556B">
      <w:pPr>
        <w:rPr>
          <w:color w:val="000000" w:themeColor="text1"/>
        </w:rPr>
      </w:pPr>
    </w:p>
    <w:p w14:paraId="6F9E5846" w14:textId="267ABB0C" w:rsidR="00B5556B" w:rsidRPr="00D55C3B" w:rsidRDefault="00B5556B" w:rsidP="00B5556B">
      <w:pPr>
        <w:rPr>
          <w:color w:val="000000" w:themeColor="text1"/>
        </w:rPr>
      </w:pPr>
      <w:r w:rsidRPr="00D55C3B">
        <w:rPr>
          <w:color w:val="000000" w:themeColor="text1"/>
        </w:rPr>
        <w:t xml:space="preserve">The breeding pedigree for the various </w:t>
      </w:r>
      <w:r>
        <w:rPr>
          <w:color w:val="000000" w:themeColor="text1"/>
        </w:rPr>
        <w:t xml:space="preserve">generations is given in </w:t>
      </w:r>
      <w:hyperlink w:anchor="Figure2" w:history="1">
        <w:r w:rsidRPr="00337305">
          <w:rPr>
            <w:rStyle w:val="Hyperlink"/>
          </w:rPr>
          <w:t>Figure 2</w:t>
        </w:r>
      </w:hyperlink>
      <w:r w:rsidRPr="00D55C3B">
        <w:rPr>
          <w:color w:val="000000" w:themeColor="text1"/>
        </w:rPr>
        <w:t>.</w:t>
      </w:r>
    </w:p>
    <w:p w14:paraId="57AA91D4" w14:textId="01435B61" w:rsidR="002577B3" w:rsidRDefault="002577B3" w:rsidP="00B5556B">
      <w:pPr>
        <w:rPr>
          <w:color w:val="000000" w:themeColor="text1"/>
        </w:rPr>
      </w:pPr>
    </w:p>
    <w:p w14:paraId="2083E53D" w14:textId="68925E77" w:rsidR="00B5556B" w:rsidRDefault="00B5556B" w:rsidP="00B5556B">
      <w:pPr>
        <w:rPr>
          <w:color w:val="000000" w:themeColor="text1"/>
        </w:rPr>
      </w:pPr>
      <w:r w:rsidRPr="00D55C3B">
        <w:rPr>
          <w:color w:val="000000" w:themeColor="text1"/>
        </w:rPr>
        <w:t xml:space="preserve">Following </w:t>
      </w:r>
      <w:r>
        <w:rPr>
          <w:color w:val="000000" w:themeColor="text1"/>
        </w:rPr>
        <w:t>development</w:t>
      </w:r>
      <w:r w:rsidRPr="00D55C3B">
        <w:rPr>
          <w:color w:val="000000" w:themeColor="text1"/>
        </w:rPr>
        <w:t xml:space="preserve"> of</w:t>
      </w:r>
      <w:r>
        <w:rPr>
          <w:color w:val="000000" w:themeColor="text1"/>
        </w:rPr>
        <w:t xml:space="preserve"> the</w:t>
      </w:r>
      <w:r w:rsidRPr="00D55C3B">
        <w:rPr>
          <w:color w:val="000000" w:themeColor="text1"/>
        </w:rPr>
        <w:t xml:space="preserve"> T</w:t>
      </w:r>
      <w:r w:rsidRPr="00B5556B">
        <w:rPr>
          <w:color w:val="000000" w:themeColor="text1"/>
          <w:vertAlign w:val="subscript"/>
        </w:rPr>
        <w:t>0</w:t>
      </w:r>
      <w:r w:rsidRPr="004F20F5">
        <w:rPr>
          <w:color w:val="000000" w:themeColor="text1"/>
        </w:rPr>
        <w:t xml:space="preserve"> </w:t>
      </w:r>
      <w:r w:rsidRPr="00D55C3B">
        <w:rPr>
          <w:color w:val="000000" w:themeColor="text1"/>
        </w:rPr>
        <w:t xml:space="preserve">plants (see </w:t>
      </w:r>
      <w:hyperlink w:anchor="Section3_1" w:history="1">
        <w:r w:rsidRPr="00337305">
          <w:rPr>
            <w:rStyle w:val="Hyperlink"/>
          </w:rPr>
          <w:t>Section 3.1</w:t>
        </w:r>
      </w:hyperlink>
      <w:r w:rsidRPr="00D55C3B">
        <w:rPr>
          <w:color w:val="000000" w:themeColor="text1"/>
        </w:rPr>
        <w:t>)</w:t>
      </w:r>
      <w:r>
        <w:rPr>
          <w:color w:val="000000" w:themeColor="text1"/>
        </w:rPr>
        <w:t xml:space="preserve">, </w:t>
      </w:r>
      <w:r w:rsidRPr="00D55C3B">
        <w:rPr>
          <w:color w:val="000000" w:themeColor="text1"/>
        </w:rPr>
        <w:t xml:space="preserve">a series of </w:t>
      </w:r>
      <w:r>
        <w:rPr>
          <w:color w:val="000000" w:themeColor="text1"/>
        </w:rPr>
        <w:t>self-pollination (</w:t>
      </w:r>
      <w:r w:rsidR="00AE0ABC">
        <w:rPr>
          <w:color w:val="000000" w:themeColor="text1"/>
        </w:rPr>
        <w:t>selfed</w:t>
      </w:r>
      <w:r>
        <w:rPr>
          <w:color w:val="000000" w:themeColor="text1"/>
        </w:rPr>
        <w:t>)</w:t>
      </w:r>
      <w:r w:rsidRPr="00D55C3B">
        <w:rPr>
          <w:color w:val="000000" w:themeColor="text1"/>
        </w:rPr>
        <w:t xml:space="preserve"> and seed bulking</w:t>
      </w:r>
      <w:r w:rsidR="00AD3B54">
        <w:rPr>
          <w:color w:val="000000" w:themeColor="text1"/>
        </w:rPr>
        <w:t xml:space="preserve"> steps</w:t>
      </w:r>
      <w:r w:rsidRPr="00D55C3B">
        <w:rPr>
          <w:color w:val="000000" w:themeColor="text1"/>
        </w:rPr>
        <w:t xml:space="preserve"> proceeded up to generation T</w:t>
      </w:r>
      <w:r w:rsidR="00AD3B54" w:rsidRPr="00AD3B54">
        <w:rPr>
          <w:color w:val="000000" w:themeColor="text1"/>
          <w:vertAlign w:val="subscript"/>
        </w:rPr>
        <w:t>8</w:t>
      </w:r>
      <w:r>
        <w:rPr>
          <w:color w:val="000000" w:themeColor="text1"/>
        </w:rPr>
        <w:t>. T</w:t>
      </w:r>
      <w:r w:rsidR="00AD3B54" w:rsidRPr="00AD3B54">
        <w:rPr>
          <w:color w:val="000000" w:themeColor="text1"/>
          <w:vertAlign w:val="subscript"/>
        </w:rPr>
        <w:t>3</w:t>
      </w:r>
      <w:r>
        <w:rPr>
          <w:color w:val="000000" w:themeColor="text1"/>
        </w:rPr>
        <w:t xml:space="preserve"> plants were also crossed </w:t>
      </w:r>
      <w:r w:rsidRPr="00D55C3B">
        <w:rPr>
          <w:color w:val="000000" w:themeColor="text1"/>
        </w:rPr>
        <w:t xml:space="preserve">with </w:t>
      </w:r>
      <w:r w:rsidR="0011567F">
        <w:rPr>
          <w:color w:val="000000" w:themeColor="text1"/>
        </w:rPr>
        <w:t xml:space="preserve">two </w:t>
      </w:r>
      <w:r w:rsidR="00D67E2B">
        <w:rPr>
          <w:color w:val="000000" w:themeColor="text1"/>
        </w:rPr>
        <w:t xml:space="preserve">commercial </w:t>
      </w:r>
      <w:r w:rsidR="0011567F">
        <w:rPr>
          <w:color w:val="000000" w:themeColor="text1"/>
        </w:rPr>
        <w:t>cultivars</w:t>
      </w:r>
      <w:r w:rsidR="002577B3">
        <w:rPr>
          <w:color w:val="000000" w:themeColor="text1"/>
        </w:rPr>
        <w:t xml:space="preserve"> (C</w:t>
      </w:r>
      <w:r w:rsidR="003D13F9">
        <w:rPr>
          <w:color w:val="000000" w:themeColor="text1"/>
        </w:rPr>
        <w:t>C</w:t>
      </w:r>
      <w:r w:rsidR="002577B3">
        <w:rPr>
          <w:color w:val="000000" w:themeColor="text1"/>
        </w:rPr>
        <w:t>)</w:t>
      </w:r>
      <w:r w:rsidR="00A57202">
        <w:rPr>
          <w:color w:val="000000" w:themeColor="text1"/>
        </w:rPr>
        <w:t xml:space="preserve"> to produce</w:t>
      </w:r>
      <w:r>
        <w:rPr>
          <w:color w:val="000000" w:themeColor="text1"/>
        </w:rPr>
        <w:t xml:space="preserve"> </w:t>
      </w:r>
      <w:r w:rsidR="00D67E2B">
        <w:rPr>
          <w:color w:val="000000" w:themeColor="text1"/>
        </w:rPr>
        <w:t xml:space="preserve">two </w:t>
      </w:r>
      <w:r w:rsidRPr="00D55C3B">
        <w:rPr>
          <w:color w:val="000000" w:themeColor="text1"/>
        </w:rPr>
        <w:t>F</w:t>
      </w:r>
      <w:r w:rsidRPr="00A57202">
        <w:rPr>
          <w:color w:val="000000" w:themeColor="text1"/>
          <w:vertAlign w:val="subscript"/>
        </w:rPr>
        <w:t>1</w:t>
      </w:r>
      <w:r w:rsidRPr="00D55C3B">
        <w:rPr>
          <w:color w:val="000000" w:themeColor="text1"/>
        </w:rPr>
        <w:t xml:space="preserve"> generation</w:t>
      </w:r>
      <w:r w:rsidR="00D67E2B">
        <w:rPr>
          <w:color w:val="000000" w:themeColor="text1"/>
        </w:rPr>
        <w:t>s</w:t>
      </w:r>
      <w:r w:rsidR="00A57202">
        <w:rPr>
          <w:color w:val="000000" w:themeColor="text1"/>
        </w:rPr>
        <w:t>.</w:t>
      </w:r>
      <w:r>
        <w:rPr>
          <w:color w:val="000000" w:themeColor="text1"/>
        </w:rPr>
        <w:t xml:space="preserve"> </w:t>
      </w:r>
      <w:r w:rsidR="00A57202">
        <w:rPr>
          <w:color w:val="000000" w:themeColor="text1"/>
        </w:rPr>
        <w:t>These F</w:t>
      </w:r>
      <w:r w:rsidR="00A57202" w:rsidRPr="00A57202">
        <w:rPr>
          <w:color w:val="000000" w:themeColor="text1"/>
          <w:vertAlign w:val="subscript"/>
        </w:rPr>
        <w:t>1</w:t>
      </w:r>
      <w:r w:rsidR="00A57202">
        <w:rPr>
          <w:color w:val="000000" w:themeColor="text1"/>
        </w:rPr>
        <w:t xml:space="preserve"> generation</w:t>
      </w:r>
      <w:r>
        <w:rPr>
          <w:color w:val="000000" w:themeColor="text1"/>
        </w:rPr>
        <w:t xml:space="preserve"> w</w:t>
      </w:r>
      <w:r w:rsidR="00A57202">
        <w:rPr>
          <w:color w:val="000000" w:themeColor="text1"/>
        </w:rPr>
        <w:t>ere</w:t>
      </w:r>
      <w:r w:rsidRPr="00D55C3B">
        <w:rPr>
          <w:color w:val="000000" w:themeColor="text1"/>
        </w:rPr>
        <w:t xml:space="preserve"> selfed</w:t>
      </w:r>
      <w:r>
        <w:rPr>
          <w:color w:val="000000" w:themeColor="text1"/>
        </w:rPr>
        <w:t>,</w:t>
      </w:r>
      <w:r w:rsidRPr="00D55C3B">
        <w:rPr>
          <w:color w:val="000000" w:themeColor="text1"/>
        </w:rPr>
        <w:t xml:space="preserve"> </w:t>
      </w:r>
      <w:r>
        <w:rPr>
          <w:color w:val="000000" w:themeColor="text1"/>
        </w:rPr>
        <w:t>or underwent backcrosses</w:t>
      </w:r>
      <w:r w:rsidR="00A57202">
        <w:rPr>
          <w:color w:val="000000" w:themeColor="text1"/>
        </w:rPr>
        <w:t xml:space="preserve"> with</w:t>
      </w:r>
      <w:r>
        <w:rPr>
          <w:color w:val="000000" w:themeColor="text1"/>
        </w:rPr>
        <w:t xml:space="preserve"> </w:t>
      </w:r>
      <w:r w:rsidR="00D67E2B">
        <w:rPr>
          <w:color w:val="000000" w:themeColor="text1"/>
        </w:rPr>
        <w:t>the</w:t>
      </w:r>
      <w:r w:rsidR="002577B3">
        <w:rPr>
          <w:color w:val="000000" w:themeColor="text1"/>
        </w:rPr>
        <w:t>ir</w:t>
      </w:r>
      <w:r w:rsidR="00D67E2B">
        <w:rPr>
          <w:color w:val="000000" w:themeColor="text1"/>
        </w:rPr>
        <w:t xml:space="preserve"> respective </w:t>
      </w:r>
      <w:r w:rsidR="002577B3">
        <w:rPr>
          <w:color w:val="000000" w:themeColor="text1"/>
        </w:rPr>
        <w:t>C</w:t>
      </w:r>
      <w:r w:rsidR="003D13F9">
        <w:rPr>
          <w:color w:val="000000" w:themeColor="text1"/>
        </w:rPr>
        <w:t>C</w:t>
      </w:r>
      <w:r w:rsidR="002577B3">
        <w:rPr>
          <w:color w:val="000000" w:themeColor="text1"/>
        </w:rPr>
        <w:t>s</w:t>
      </w:r>
      <w:r w:rsidR="00A57202">
        <w:rPr>
          <w:color w:val="000000" w:themeColor="text1"/>
        </w:rPr>
        <w:t xml:space="preserve"> </w:t>
      </w:r>
      <w:r w:rsidRPr="00D55C3B">
        <w:rPr>
          <w:color w:val="000000" w:themeColor="text1"/>
        </w:rPr>
        <w:t>to produce further F generations.</w:t>
      </w:r>
      <w:r>
        <w:rPr>
          <w:color w:val="000000" w:themeColor="text1"/>
        </w:rPr>
        <w:t xml:space="preserve"> </w:t>
      </w:r>
    </w:p>
    <w:p w14:paraId="0D5A3FE1" w14:textId="77777777" w:rsidR="00824858" w:rsidRDefault="00824858">
      <w:pPr>
        <w:widowControl/>
        <w:rPr>
          <w:color w:val="000000" w:themeColor="text1"/>
        </w:rPr>
      </w:pPr>
      <w:r>
        <w:rPr>
          <w:color w:val="000000" w:themeColor="text1"/>
        </w:rPr>
        <w:br w:type="page"/>
      </w:r>
    </w:p>
    <w:p w14:paraId="7EFE28C7" w14:textId="595E2FBD" w:rsidR="00B5556B" w:rsidRDefault="003D13F9" w:rsidP="00B5556B">
      <w:pPr>
        <w:rPr>
          <w:color w:val="000000" w:themeColor="text1"/>
        </w:rPr>
      </w:pPr>
      <w:r>
        <w:rPr>
          <w:noProof/>
          <w:color w:val="000000" w:themeColor="text1"/>
          <w:lang w:eastAsia="en-GB" w:bidi="ar-SA"/>
        </w:rPr>
        <w:drawing>
          <wp:anchor distT="0" distB="0" distL="114300" distR="114300" simplePos="0" relativeHeight="251667968" behindDoc="1" locked="0" layoutInCell="1" allowOverlap="1" wp14:anchorId="00CD38B2" wp14:editId="18EEB599">
            <wp:simplePos x="0" y="0"/>
            <wp:positionH relativeFrom="column">
              <wp:posOffset>4445</wp:posOffset>
            </wp:positionH>
            <wp:positionV relativeFrom="paragraph">
              <wp:posOffset>4445</wp:posOffset>
            </wp:positionV>
            <wp:extent cx="5759450" cy="5441950"/>
            <wp:effectExtent l="133350" t="133350" r="146050" b="158750"/>
            <wp:wrapNone/>
            <wp:docPr id="5" name="Picture 5" descr="Breeding path used in the characterisation of the GMB151 line."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eeding chart for A1196.jpg"/>
                    <pic:cNvPicPr/>
                  </pic:nvPicPr>
                  <pic:blipFill>
                    <a:blip r:embed="rId13">
                      <a:extLst>
                        <a:ext uri="{28A0092B-C50C-407E-A947-70E740481C1C}">
                          <a14:useLocalDpi xmlns:a14="http://schemas.microsoft.com/office/drawing/2010/main" val="0"/>
                        </a:ext>
                      </a:extLst>
                    </a:blip>
                    <a:stretch>
                      <a:fillRect/>
                    </a:stretch>
                  </pic:blipFill>
                  <pic:spPr>
                    <a:xfrm>
                      <a:off x="0" y="0"/>
                      <a:ext cx="5759450" cy="5441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776F4F67" w14:textId="371BCCD3" w:rsidR="00B5556B" w:rsidRDefault="00B5556B" w:rsidP="00B5556B">
      <w:pPr>
        <w:rPr>
          <w:iCs/>
        </w:rPr>
      </w:pPr>
    </w:p>
    <w:p w14:paraId="04461F07" w14:textId="201CEDD9" w:rsidR="00B5556B" w:rsidRDefault="00B5556B" w:rsidP="00B5556B">
      <w:pPr>
        <w:rPr>
          <w:iCs/>
        </w:rPr>
      </w:pPr>
    </w:p>
    <w:p w14:paraId="112105B8" w14:textId="77777777" w:rsidR="00B5556B" w:rsidRDefault="00B5556B" w:rsidP="00B5556B">
      <w:pPr>
        <w:rPr>
          <w:iCs/>
        </w:rPr>
      </w:pPr>
    </w:p>
    <w:p w14:paraId="3AE523D5" w14:textId="77777777" w:rsidR="00B5556B" w:rsidRDefault="00B5556B" w:rsidP="00B5556B">
      <w:pPr>
        <w:rPr>
          <w:iCs/>
        </w:rPr>
      </w:pPr>
    </w:p>
    <w:p w14:paraId="039C80DE" w14:textId="77777777" w:rsidR="00B5556B" w:rsidRDefault="00B5556B" w:rsidP="00B5556B">
      <w:pPr>
        <w:rPr>
          <w:iCs/>
        </w:rPr>
      </w:pPr>
    </w:p>
    <w:p w14:paraId="26087A00" w14:textId="77777777" w:rsidR="00B5556B" w:rsidRDefault="00B5556B" w:rsidP="00B5556B">
      <w:pPr>
        <w:rPr>
          <w:iCs/>
        </w:rPr>
      </w:pPr>
    </w:p>
    <w:p w14:paraId="2E3D1211" w14:textId="77777777" w:rsidR="00B5556B" w:rsidRDefault="00B5556B" w:rsidP="00B5556B">
      <w:pPr>
        <w:rPr>
          <w:iCs/>
        </w:rPr>
      </w:pPr>
    </w:p>
    <w:p w14:paraId="77EAD543" w14:textId="77777777" w:rsidR="00B5556B" w:rsidRDefault="00B5556B" w:rsidP="00B5556B">
      <w:pPr>
        <w:rPr>
          <w:iCs/>
        </w:rPr>
      </w:pPr>
    </w:p>
    <w:p w14:paraId="0704694C" w14:textId="77777777" w:rsidR="00B5556B" w:rsidRDefault="00B5556B" w:rsidP="00B5556B">
      <w:pPr>
        <w:rPr>
          <w:iCs/>
        </w:rPr>
      </w:pPr>
    </w:p>
    <w:p w14:paraId="4F48491F" w14:textId="77777777" w:rsidR="00B5556B" w:rsidRDefault="00B5556B" w:rsidP="00B5556B">
      <w:pPr>
        <w:rPr>
          <w:iCs/>
        </w:rPr>
      </w:pPr>
    </w:p>
    <w:p w14:paraId="232A132A" w14:textId="77777777" w:rsidR="00B5556B" w:rsidRDefault="00B5556B" w:rsidP="00B5556B">
      <w:pPr>
        <w:rPr>
          <w:iCs/>
        </w:rPr>
      </w:pPr>
    </w:p>
    <w:p w14:paraId="202DF120" w14:textId="77777777" w:rsidR="00B5556B" w:rsidRDefault="00B5556B" w:rsidP="00B5556B">
      <w:pPr>
        <w:rPr>
          <w:iCs/>
        </w:rPr>
      </w:pPr>
    </w:p>
    <w:p w14:paraId="1D881B50" w14:textId="77777777" w:rsidR="00B5556B" w:rsidRDefault="00B5556B" w:rsidP="00B5556B">
      <w:pPr>
        <w:rPr>
          <w:iCs/>
        </w:rPr>
      </w:pPr>
    </w:p>
    <w:p w14:paraId="098C98DE" w14:textId="77777777" w:rsidR="00B5556B" w:rsidRDefault="00B5556B" w:rsidP="00B5556B">
      <w:pPr>
        <w:rPr>
          <w:iCs/>
        </w:rPr>
      </w:pPr>
    </w:p>
    <w:p w14:paraId="71D13717" w14:textId="77777777" w:rsidR="00B5556B" w:rsidRDefault="00B5556B" w:rsidP="00B5556B">
      <w:pPr>
        <w:rPr>
          <w:iCs/>
        </w:rPr>
      </w:pPr>
    </w:p>
    <w:p w14:paraId="023B6146" w14:textId="25B708A4" w:rsidR="00B5556B" w:rsidRDefault="00B5556B" w:rsidP="00B5556B">
      <w:pPr>
        <w:rPr>
          <w:iCs/>
        </w:rPr>
      </w:pPr>
    </w:p>
    <w:p w14:paraId="3B0F6DE8" w14:textId="77777777" w:rsidR="00B5556B" w:rsidRDefault="00B5556B" w:rsidP="00B5556B">
      <w:pPr>
        <w:rPr>
          <w:iCs/>
        </w:rPr>
      </w:pPr>
    </w:p>
    <w:p w14:paraId="59F82EF4" w14:textId="77777777" w:rsidR="00B5556B" w:rsidRDefault="00B5556B" w:rsidP="00B5556B">
      <w:pPr>
        <w:rPr>
          <w:iCs/>
        </w:rPr>
      </w:pPr>
    </w:p>
    <w:p w14:paraId="212E3709" w14:textId="77777777" w:rsidR="00B5556B" w:rsidRDefault="00B5556B" w:rsidP="00B5556B">
      <w:pPr>
        <w:rPr>
          <w:iCs/>
        </w:rPr>
      </w:pPr>
    </w:p>
    <w:p w14:paraId="0502196F" w14:textId="77777777" w:rsidR="00B5556B" w:rsidRDefault="00B5556B" w:rsidP="00B5556B">
      <w:pPr>
        <w:rPr>
          <w:iCs/>
        </w:rPr>
      </w:pPr>
    </w:p>
    <w:p w14:paraId="3C965D8A" w14:textId="77777777" w:rsidR="00B5556B" w:rsidRDefault="00B5556B" w:rsidP="00B5556B">
      <w:pPr>
        <w:rPr>
          <w:iCs/>
        </w:rPr>
      </w:pPr>
    </w:p>
    <w:p w14:paraId="6F8F4308" w14:textId="77777777" w:rsidR="00B5556B" w:rsidRDefault="00B5556B" w:rsidP="00B5556B">
      <w:pPr>
        <w:rPr>
          <w:iCs/>
        </w:rPr>
      </w:pPr>
    </w:p>
    <w:p w14:paraId="660B8A2E" w14:textId="77777777" w:rsidR="00B5556B" w:rsidRDefault="00B5556B" w:rsidP="00B5556B">
      <w:pPr>
        <w:rPr>
          <w:iCs/>
        </w:rPr>
      </w:pPr>
    </w:p>
    <w:p w14:paraId="63C105B6" w14:textId="77777777" w:rsidR="00B5556B" w:rsidRDefault="00B5556B" w:rsidP="00B5556B">
      <w:pPr>
        <w:rPr>
          <w:iCs/>
        </w:rPr>
      </w:pPr>
    </w:p>
    <w:p w14:paraId="7F0512BF" w14:textId="50DD7DC7" w:rsidR="00B5556B" w:rsidRDefault="00B5556B" w:rsidP="00B5556B">
      <w:pPr>
        <w:rPr>
          <w:iCs/>
        </w:rPr>
      </w:pPr>
    </w:p>
    <w:p w14:paraId="05D9059C" w14:textId="2C33CDD4" w:rsidR="00B5556B" w:rsidRDefault="00B5556B" w:rsidP="008D5B65">
      <w:pPr>
        <w:rPr>
          <w:color w:val="000000" w:themeColor="text1"/>
        </w:rPr>
      </w:pPr>
    </w:p>
    <w:p w14:paraId="5A6BFED4" w14:textId="68D16EC1" w:rsidR="003D13F9" w:rsidRDefault="003D13F9" w:rsidP="008D5B65">
      <w:pPr>
        <w:rPr>
          <w:color w:val="000000" w:themeColor="text1"/>
        </w:rPr>
      </w:pPr>
    </w:p>
    <w:p w14:paraId="4592DC9F" w14:textId="2A9F7CF0" w:rsidR="003D13F9" w:rsidRDefault="003D13F9" w:rsidP="008D5B65">
      <w:pPr>
        <w:rPr>
          <w:color w:val="000000" w:themeColor="text1"/>
        </w:rPr>
      </w:pPr>
    </w:p>
    <w:p w14:paraId="4388CDF7" w14:textId="25D595F3" w:rsidR="003D13F9" w:rsidRDefault="003D13F9" w:rsidP="008D5B65">
      <w:pPr>
        <w:rPr>
          <w:color w:val="000000" w:themeColor="text1"/>
        </w:rPr>
      </w:pPr>
    </w:p>
    <w:p w14:paraId="0DE6480C" w14:textId="4E257E12" w:rsidR="003D13F9" w:rsidRDefault="003D13F9" w:rsidP="008D5B65">
      <w:pPr>
        <w:rPr>
          <w:color w:val="000000" w:themeColor="text1"/>
        </w:rPr>
      </w:pPr>
    </w:p>
    <w:p w14:paraId="0F6246C4" w14:textId="208B7989" w:rsidR="003D13F9" w:rsidRDefault="003D13F9" w:rsidP="008D5B65">
      <w:pPr>
        <w:rPr>
          <w:color w:val="000000" w:themeColor="text1"/>
        </w:rPr>
      </w:pPr>
    </w:p>
    <w:p w14:paraId="21C24EF8" w14:textId="1F524CBE" w:rsidR="003D13F9" w:rsidRDefault="003D13F9" w:rsidP="008D5B65">
      <w:pPr>
        <w:rPr>
          <w:color w:val="000000" w:themeColor="text1"/>
        </w:rPr>
      </w:pPr>
    </w:p>
    <w:p w14:paraId="3356E499" w14:textId="1561B3D4" w:rsidR="003D13F9" w:rsidRDefault="003D13F9" w:rsidP="008D5B65">
      <w:pPr>
        <w:rPr>
          <w:color w:val="000000" w:themeColor="text1"/>
        </w:rPr>
      </w:pPr>
    </w:p>
    <w:p w14:paraId="603C78AC" w14:textId="77777777" w:rsidR="003D13F9" w:rsidRDefault="003D13F9" w:rsidP="008D5B65">
      <w:pPr>
        <w:rPr>
          <w:color w:val="000000" w:themeColor="text1"/>
        </w:rPr>
      </w:pPr>
    </w:p>
    <w:p w14:paraId="0E3D86E4" w14:textId="5026D81E" w:rsidR="003D13F9" w:rsidRDefault="003D13F9" w:rsidP="003D13F9">
      <w:pPr>
        <w:rPr>
          <w:i/>
        </w:rPr>
      </w:pPr>
      <w:bookmarkStart w:id="97" w:name="Figure2"/>
      <w:r w:rsidRPr="00D828CE">
        <w:rPr>
          <w:i/>
        </w:rPr>
        <w:t xml:space="preserve">Figure </w:t>
      </w:r>
      <w:r>
        <w:rPr>
          <w:i/>
        </w:rPr>
        <w:t>2</w:t>
      </w:r>
      <w:bookmarkEnd w:id="97"/>
      <w:r w:rsidRPr="00D828CE">
        <w:rPr>
          <w:i/>
        </w:rPr>
        <w:t xml:space="preserve">: Breeding path used </w:t>
      </w:r>
      <w:r>
        <w:rPr>
          <w:i/>
        </w:rPr>
        <w:t>in the</w:t>
      </w:r>
      <w:r w:rsidRPr="00D828CE">
        <w:rPr>
          <w:i/>
        </w:rPr>
        <w:t xml:space="preserve"> </w:t>
      </w:r>
      <w:r>
        <w:rPr>
          <w:i/>
        </w:rPr>
        <w:t>characterisation of the GMB151 line</w:t>
      </w:r>
      <w:r w:rsidR="00337305">
        <w:rPr>
          <w:i/>
        </w:rPr>
        <w:t>.</w:t>
      </w:r>
    </w:p>
    <w:p w14:paraId="085B5A58" w14:textId="01D57537" w:rsidR="003D13F9" w:rsidRDefault="003D13F9" w:rsidP="008D5B65">
      <w:pPr>
        <w:rPr>
          <w:color w:val="000000" w:themeColor="text1"/>
        </w:rPr>
      </w:pPr>
    </w:p>
    <w:p w14:paraId="7492E29E" w14:textId="77777777" w:rsidR="00930CCF" w:rsidRPr="00085B6B" w:rsidRDefault="00930CCF" w:rsidP="008928DE">
      <w:pPr>
        <w:pStyle w:val="Heading2"/>
      </w:pPr>
      <w:bookmarkStart w:id="98" w:name="_Toc454886841"/>
      <w:bookmarkStart w:id="99" w:name="_Toc482255814"/>
      <w:bookmarkStart w:id="100" w:name="_Toc496169780"/>
      <w:bookmarkStart w:id="101" w:name="_Toc34830891"/>
      <w:r w:rsidRPr="00085B6B">
        <w:t>3.4</w:t>
      </w:r>
      <w:r>
        <w:tab/>
      </w:r>
      <w:r w:rsidRPr="00085B6B">
        <w:t xml:space="preserve">Characterisation of the </w:t>
      </w:r>
      <w:bookmarkEnd w:id="98"/>
      <w:r>
        <w:t>inserted DNA and site(s) of insertion</w:t>
      </w:r>
      <w:bookmarkEnd w:id="99"/>
      <w:bookmarkEnd w:id="100"/>
      <w:bookmarkEnd w:id="101"/>
    </w:p>
    <w:p w14:paraId="420CBADD" w14:textId="306A8B29" w:rsidR="00930CCF" w:rsidRDefault="00FD0A1A" w:rsidP="00930CCF">
      <w:pPr>
        <w:rPr>
          <w:color w:val="000000" w:themeColor="text1"/>
        </w:rPr>
      </w:pPr>
      <w:r w:rsidRPr="004375B7">
        <w:rPr>
          <w:color w:val="000000" w:themeColor="text1"/>
        </w:rPr>
        <w:t xml:space="preserve">A range of analyses were undertaken to characterise the genetic modification in </w:t>
      </w:r>
      <w:r w:rsidR="00E840C1">
        <w:rPr>
          <w:color w:val="000000" w:themeColor="text1"/>
        </w:rPr>
        <w:t>GMB151</w:t>
      </w:r>
      <w:r w:rsidR="00930CCF" w:rsidRPr="004375B7">
        <w:rPr>
          <w:color w:val="000000" w:themeColor="text1"/>
        </w:rPr>
        <w:t xml:space="preserve">. </w:t>
      </w:r>
      <w:r w:rsidRPr="004375B7">
        <w:rPr>
          <w:color w:val="000000" w:themeColor="text1"/>
        </w:rPr>
        <w:t xml:space="preserve">These analyses focused on </w:t>
      </w:r>
      <w:r w:rsidR="00930CCF" w:rsidRPr="004375B7">
        <w:rPr>
          <w:color w:val="000000" w:themeColor="text1"/>
        </w:rPr>
        <w:t>the nature and stability of the insertion and whether any unintended rearrangements or products may have occurred as a consequence of the transformation proce</w:t>
      </w:r>
      <w:r w:rsidR="008444CB">
        <w:rPr>
          <w:color w:val="000000" w:themeColor="text1"/>
        </w:rPr>
        <w:t>ss</w:t>
      </w:r>
      <w:r w:rsidR="00930CCF" w:rsidRPr="004375B7">
        <w:rPr>
          <w:color w:val="000000" w:themeColor="text1"/>
        </w:rPr>
        <w:t xml:space="preserve">. </w:t>
      </w:r>
      <w:r w:rsidR="00930CCF">
        <w:rPr>
          <w:color w:val="000000" w:themeColor="text1"/>
        </w:rPr>
        <w:t xml:space="preserve">When characterising </w:t>
      </w:r>
      <w:r w:rsidR="00E840C1">
        <w:rPr>
          <w:color w:val="000000" w:themeColor="text1"/>
        </w:rPr>
        <w:t>GMB151</w:t>
      </w:r>
      <w:r w:rsidR="00930CCF">
        <w:rPr>
          <w:color w:val="000000" w:themeColor="text1"/>
        </w:rPr>
        <w:t xml:space="preserve">, different generations of plants were analysed and these are outlined in </w:t>
      </w:r>
      <w:hyperlink w:anchor="Table3" w:history="1">
        <w:r w:rsidR="00930CCF" w:rsidRPr="002F082A">
          <w:rPr>
            <w:rStyle w:val="Hyperlink"/>
          </w:rPr>
          <w:t>Table</w:t>
        </w:r>
        <w:r w:rsidR="00A04498" w:rsidRPr="002F082A">
          <w:rPr>
            <w:rStyle w:val="Hyperlink"/>
          </w:rPr>
          <w:t xml:space="preserve"> 3</w:t>
        </w:r>
      </w:hyperlink>
      <w:r w:rsidR="00930CCF">
        <w:rPr>
          <w:color w:val="000000" w:themeColor="text1"/>
        </w:rPr>
        <w:t>.</w:t>
      </w:r>
    </w:p>
    <w:p w14:paraId="4C388102" w14:textId="6D6CDB56" w:rsidR="00827916" w:rsidRDefault="00827916" w:rsidP="008D5B65">
      <w:pPr>
        <w:rPr>
          <w:color w:val="000000" w:themeColor="text1"/>
        </w:rPr>
      </w:pPr>
    </w:p>
    <w:p w14:paraId="76BC6A15" w14:textId="77777777" w:rsidR="00824858" w:rsidRDefault="00824858">
      <w:pPr>
        <w:widowControl/>
        <w:rPr>
          <w:rFonts w:cs="Arial"/>
          <w:b/>
        </w:rPr>
      </w:pPr>
      <w:r>
        <w:br w:type="page"/>
      </w:r>
    </w:p>
    <w:p w14:paraId="432993C0" w14:textId="34D7F118" w:rsidR="00930CCF" w:rsidRPr="0069627A" w:rsidRDefault="00930CCF" w:rsidP="00930CCF">
      <w:pPr>
        <w:pStyle w:val="FSTableTitle"/>
        <w:spacing w:after="120"/>
      </w:pPr>
      <w:bookmarkStart w:id="102" w:name="Table3"/>
      <w:r w:rsidRPr="002561C4">
        <w:t xml:space="preserve">Table </w:t>
      </w:r>
      <w:r w:rsidR="00A04498">
        <w:t>3</w:t>
      </w:r>
      <w:bookmarkEnd w:id="102"/>
      <w:r w:rsidRPr="002561C4">
        <w:t xml:space="preserve">: </w:t>
      </w:r>
      <w:r w:rsidR="00176640">
        <w:t>Events used in the m</w:t>
      </w:r>
      <w:r>
        <w:t>olecular characterisation studies performed in G</w:t>
      </w:r>
      <w:r w:rsidR="00E840C1">
        <w:t>M</w:t>
      </w:r>
      <w:r>
        <w:t>B</w:t>
      </w:r>
      <w:r w:rsidR="00E840C1">
        <w:t>151</w:t>
      </w:r>
    </w:p>
    <w:tbl>
      <w:tblPr>
        <w:tblStyle w:val="ListTable4"/>
        <w:tblW w:w="8647" w:type="dxa"/>
        <w:tblLook w:val="04A0" w:firstRow="1" w:lastRow="0" w:firstColumn="1" w:lastColumn="0" w:noHBand="0" w:noVBand="1"/>
        <w:tblCaption w:val="Table 3"/>
        <w:tblDescription w:val="Events used in the molecular characterisation studies performed in GMB151"/>
      </w:tblPr>
      <w:tblGrid>
        <w:gridCol w:w="3969"/>
        <w:gridCol w:w="2410"/>
        <w:gridCol w:w="2268"/>
      </w:tblGrid>
      <w:tr w:rsidR="00930CCF" w:rsidRPr="002561C4" w14:paraId="65C6632F" w14:textId="77777777" w:rsidTr="00C43EA6">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tcBorders>
            <w:shd w:val="clear" w:color="auto" w:fill="7F7F7F" w:themeFill="text1" w:themeFillTint="80"/>
            <w:vAlign w:val="center"/>
          </w:tcPr>
          <w:p w14:paraId="2D1617D3" w14:textId="77777777" w:rsidR="00930CCF" w:rsidRPr="00300670" w:rsidRDefault="00930CCF" w:rsidP="00300670">
            <w:pPr>
              <w:pStyle w:val="FSTableHeading"/>
              <w:jc w:val="left"/>
              <w:rPr>
                <w:rFonts w:ascii="Arial" w:hAnsi="Arial"/>
                <w:b/>
                <w:sz w:val="18"/>
                <w:lang w:val="en-AU"/>
              </w:rPr>
            </w:pPr>
            <w:r w:rsidRPr="00300670">
              <w:rPr>
                <w:rFonts w:ascii="Arial" w:hAnsi="Arial"/>
                <w:b/>
                <w:sz w:val="18"/>
                <w:lang w:val="en-AU"/>
              </w:rPr>
              <w:t>Analysis</w:t>
            </w:r>
          </w:p>
        </w:tc>
        <w:tc>
          <w:tcPr>
            <w:tcW w:w="2410" w:type="dxa"/>
            <w:tcBorders>
              <w:top w:val="nil"/>
              <w:bottom w:val="nil"/>
            </w:tcBorders>
            <w:shd w:val="clear" w:color="auto" w:fill="7F7F7F" w:themeFill="text1" w:themeFillTint="80"/>
            <w:vAlign w:val="center"/>
          </w:tcPr>
          <w:p w14:paraId="439CC2C8" w14:textId="43FDA74E" w:rsidR="00930CCF" w:rsidRPr="00300670" w:rsidRDefault="00300670" w:rsidP="00300670">
            <w:pPr>
              <w:pStyle w:val="FSTableHeading"/>
              <w:cnfStyle w:val="100000000000" w:firstRow="1" w:lastRow="0" w:firstColumn="0" w:lastColumn="0" w:oddVBand="0" w:evenVBand="0" w:oddHBand="0" w:evenHBand="0" w:firstRowFirstColumn="0" w:firstRowLastColumn="0" w:lastRowFirstColumn="0" w:lastRowLastColumn="0"/>
              <w:rPr>
                <w:rFonts w:ascii="Arial" w:hAnsi="Arial"/>
                <w:b/>
                <w:sz w:val="18"/>
                <w:lang w:val="en-AU"/>
              </w:rPr>
            </w:pPr>
            <w:r w:rsidRPr="00300670">
              <w:rPr>
                <w:rFonts w:ascii="Arial" w:hAnsi="Arial"/>
                <w:b/>
                <w:sz w:val="18"/>
                <w:lang w:val="en-AU"/>
              </w:rPr>
              <w:t>G</w:t>
            </w:r>
            <w:r w:rsidR="00930CCF" w:rsidRPr="00300670">
              <w:rPr>
                <w:rFonts w:ascii="Arial" w:hAnsi="Arial"/>
                <w:b/>
                <w:sz w:val="18"/>
                <w:lang w:val="en-AU"/>
              </w:rPr>
              <w:t>eneration</w:t>
            </w:r>
            <w:r w:rsidR="00982F35" w:rsidRPr="00300670">
              <w:rPr>
                <w:rFonts w:ascii="Arial" w:hAnsi="Arial"/>
                <w:b/>
                <w:sz w:val="18"/>
                <w:lang w:val="en-AU"/>
              </w:rPr>
              <w:t>s</w:t>
            </w:r>
            <w:r w:rsidR="00930CCF" w:rsidRPr="00300670">
              <w:rPr>
                <w:rFonts w:ascii="Arial" w:hAnsi="Arial"/>
                <w:b/>
                <w:sz w:val="18"/>
                <w:lang w:val="en-AU"/>
              </w:rPr>
              <w:t xml:space="preserve"> analysed</w:t>
            </w:r>
          </w:p>
        </w:tc>
        <w:tc>
          <w:tcPr>
            <w:tcW w:w="2268" w:type="dxa"/>
            <w:tcBorders>
              <w:top w:val="nil"/>
              <w:bottom w:val="nil"/>
              <w:right w:val="nil"/>
            </w:tcBorders>
            <w:shd w:val="clear" w:color="auto" w:fill="7F7F7F" w:themeFill="text1" w:themeFillTint="80"/>
            <w:vAlign w:val="center"/>
          </w:tcPr>
          <w:p w14:paraId="6FE95748" w14:textId="77777777" w:rsidR="00930CCF" w:rsidRPr="00300670" w:rsidRDefault="00930CCF" w:rsidP="00300670">
            <w:pPr>
              <w:pStyle w:val="FSTableHeading"/>
              <w:cnfStyle w:val="100000000000" w:firstRow="1" w:lastRow="0" w:firstColumn="0" w:lastColumn="0" w:oddVBand="0" w:evenVBand="0" w:oddHBand="0" w:evenHBand="0" w:firstRowFirstColumn="0" w:firstRowLastColumn="0" w:lastRowFirstColumn="0" w:lastRowLastColumn="0"/>
              <w:rPr>
                <w:rFonts w:ascii="Arial" w:hAnsi="Arial"/>
                <w:b/>
                <w:sz w:val="18"/>
                <w:lang w:val="en-AU"/>
              </w:rPr>
            </w:pPr>
            <w:r w:rsidRPr="00300670">
              <w:rPr>
                <w:rFonts w:ascii="Arial" w:hAnsi="Arial"/>
                <w:b/>
                <w:sz w:val="18"/>
                <w:lang w:val="en-AU"/>
              </w:rPr>
              <w:t>Control(s) used</w:t>
            </w:r>
          </w:p>
        </w:tc>
      </w:tr>
      <w:tr w:rsidR="00930CCF" w:rsidRPr="00FB01A9" w14:paraId="49F54D83" w14:textId="77777777" w:rsidTr="00C43EA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tcBorders>
            <w:shd w:val="clear" w:color="auto" w:fill="D9D9D9" w:themeFill="background1" w:themeFillShade="D9"/>
            <w:vAlign w:val="center"/>
          </w:tcPr>
          <w:p w14:paraId="06D7EFFF" w14:textId="77777777" w:rsidR="00930CCF" w:rsidRPr="00300670" w:rsidRDefault="00930CCF" w:rsidP="00FD0A1A">
            <w:pPr>
              <w:pStyle w:val="FSTableText"/>
              <w:rPr>
                <w:color w:val="000000" w:themeColor="text1"/>
                <w:sz w:val="18"/>
                <w:lang w:val="en-AU"/>
              </w:rPr>
            </w:pPr>
            <w:r w:rsidRPr="00300670">
              <w:rPr>
                <w:color w:val="000000" w:themeColor="text1"/>
                <w:sz w:val="18"/>
                <w:lang w:val="en-AU"/>
              </w:rPr>
              <w:t>Identifying the number of integration sites (Section 3.4.1)</w:t>
            </w:r>
          </w:p>
        </w:tc>
        <w:tc>
          <w:tcPr>
            <w:tcW w:w="2410" w:type="dxa"/>
            <w:tcBorders>
              <w:top w:val="nil"/>
              <w:bottom w:val="nil"/>
            </w:tcBorders>
            <w:shd w:val="clear" w:color="auto" w:fill="D9D9D9" w:themeFill="background1" w:themeFillShade="D9"/>
            <w:vAlign w:val="center"/>
          </w:tcPr>
          <w:p w14:paraId="251ECF06" w14:textId="6EB84C00" w:rsidR="00930CCF" w:rsidRPr="00300670" w:rsidRDefault="00982F35" w:rsidP="00FD0A1A">
            <w:pPr>
              <w:pStyle w:val="FSTableText"/>
              <w:cnfStyle w:val="000000100000" w:firstRow="0" w:lastRow="0" w:firstColumn="0" w:lastColumn="0" w:oddVBand="0" w:evenVBand="0" w:oddHBand="1" w:evenHBand="0" w:firstRowFirstColumn="0" w:firstRowLastColumn="0" w:lastRowFirstColumn="0" w:lastRowLastColumn="0"/>
              <w:rPr>
                <w:color w:val="000000" w:themeColor="text1"/>
                <w:sz w:val="18"/>
              </w:rPr>
            </w:pPr>
            <w:r w:rsidRPr="00300670">
              <w:rPr>
                <w:color w:val="000000" w:themeColor="text1"/>
                <w:sz w:val="18"/>
              </w:rPr>
              <w:t>T2, T4, T5, T6, BC2F3</w:t>
            </w:r>
          </w:p>
        </w:tc>
        <w:tc>
          <w:tcPr>
            <w:tcW w:w="2268" w:type="dxa"/>
            <w:tcBorders>
              <w:top w:val="nil"/>
              <w:bottom w:val="nil"/>
              <w:right w:val="nil"/>
            </w:tcBorders>
            <w:shd w:val="clear" w:color="auto" w:fill="D9D9D9" w:themeFill="background1" w:themeFillShade="D9"/>
            <w:vAlign w:val="center"/>
          </w:tcPr>
          <w:p w14:paraId="29F8D44D" w14:textId="49FCE95D" w:rsidR="00930CCF" w:rsidRPr="00300670" w:rsidRDefault="003D13F9" w:rsidP="00FD0A1A">
            <w:pPr>
              <w:pStyle w:val="FSTableText"/>
              <w:cnfStyle w:val="000000100000" w:firstRow="0" w:lastRow="0" w:firstColumn="0" w:lastColumn="0" w:oddVBand="0" w:evenVBand="0" w:oddHBand="1" w:evenHBand="0" w:firstRowFirstColumn="0" w:firstRowLastColumn="0" w:lastRowFirstColumn="0" w:lastRowLastColumn="0"/>
              <w:rPr>
                <w:color w:val="000000" w:themeColor="text1"/>
                <w:sz w:val="18"/>
                <w:lang w:val="en-AU"/>
              </w:rPr>
            </w:pPr>
            <w:r>
              <w:rPr>
                <w:color w:val="000000" w:themeColor="text1"/>
                <w:sz w:val="18"/>
                <w:lang w:val="en-AU"/>
              </w:rPr>
              <w:t>Thorne, CC</w:t>
            </w:r>
            <w:r w:rsidR="00982F35" w:rsidRPr="00300670">
              <w:rPr>
                <w:color w:val="000000" w:themeColor="text1"/>
                <w:sz w:val="18"/>
                <w:lang w:val="en-AU"/>
              </w:rPr>
              <w:t>1</w:t>
            </w:r>
            <w:r w:rsidR="008444CB" w:rsidRPr="00300670">
              <w:rPr>
                <w:color w:val="000000" w:themeColor="text1"/>
                <w:sz w:val="18"/>
                <w:lang w:val="en-AU"/>
              </w:rPr>
              <w:t xml:space="preserve"> &amp;</w:t>
            </w:r>
            <w:r w:rsidR="00982F35" w:rsidRPr="00300670">
              <w:rPr>
                <w:color w:val="000000" w:themeColor="text1"/>
                <w:sz w:val="18"/>
                <w:lang w:val="en-AU"/>
              </w:rPr>
              <w:t xml:space="preserve"> Thorne spiked with pSZ8832</w:t>
            </w:r>
          </w:p>
        </w:tc>
      </w:tr>
      <w:tr w:rsidR="008444CB" w14:paraId="28F41468" w14:textId="77777777" w:rsidTr="00C43EA6">
        <w:trPr>
          <w:trHeight w:val="567"/>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tcBorders>
            <w:vAlign w:val="center"/>
          </w:tcPr>
          <w:p w14:paraId="62AB75A0" w14:textId="0FEA9C7D" w:rsidR="008444CB" w:rsidRPr="00300670" w:rsidRDefault="008444CB" w:rsidP="00FD0A1A">
            <w:pPr>
              <w:pStyle w:val="FSTableText"/>
              <w:rPr>
                <w:color w:val="000000" w:themeColor="text1"/>
                <w:sz w:val="18"/>
                <w:lang w:val="en-AU"/>
              </w:rPr>
            </w:pPr>
            <w:r w:rsidRPr="00300670">
              <w:rPr>
                <w:color w:val="000000" w:themeColor="text1"/>
                <w:sz w:val="18"/>
                <w:lang w:val="en-AU"/>
              </w:rPr>
              <w:t xml:space="preserve">Detection of backbone sequence </w:t>
            </w:r>
          </w:p>
          <w:p w14:paraId="66CC6F90" w14:textId="77777777" w:rsidR="008444CB" w:rsidRPr="00300670" w:rsidRDefault="008444CB" w:rsidP="00FD0A1A">
            <w:pPr>
              <w:pStyle w:val="FSTableText"/>
              <w:rPr>
                <w:color w:val="000000" w:themeColor="text1"/>
                <w:sz w:val="18"/>
                <w:lang w:val="en-AU"/>
              </w:rPr>
            </w:pPr>
            <w:r w:rsidRPr="00300670">
              <w:rPr>
                <w:color w:val="000000" w:themeColor="text1"/>
                <w:sz w:val="18"/>
                <w:lang w:val="en-AU"/>
              </w:rPr>
              <w:t>(Section 3.4.2)</w:t>
            </w:r>
          </w:p>
        </w:tc>
        <w:tc>
          <w:tcPr>
            <w:tcW w:w="2410" w:type="dxa"/>
            <w:tcBorders>
              <w:top w:val="nil"/>
              <w:bottom w:val="nil"/>
            </w:tcBorders>
            <w:vAlign w:val="center"/>
          </w:tcPr>
          <w:p w14:paraId="4BE0CB7E" w14:textId="4CE1E0F7" w:rsidR="008444CB" w:rsidRPr="00300670" w:rsidRDefault="008444CB" w:rsidP="00FD0A1A">
            <w:pPr>
              <w:pStyle w:val="FSTableText"/>
              <w:cnfStyle w:val="000000000000" w:firstRow="0" w:lastRow="0" w:firstColumn="0" w:lastColumn="0" w:oddVBand="0" w:evenVBand="0" w:oddHBand="0" w:evenHBand="0" w:firstRowFirstColumn="0" w:firstRowLastColumn="0" w:lastRowFirstColumn="0" w:lastRowLastColumn="0"/>
              <w:rPr>
                <w:color w:val="000000" w:themeColor="text1"/>
                <w:sz w:val="18"/>
              </w:rPr>
            </w:pPr>
            <w:r w:rsidRPr="00300670">
              <w:rPr>
                <w:color w:val="000000" w:themeColor="text1"/>
                <w:sz w:val="18"/>
              </w:rPr>
              <w:t>T2, T4, T5, T6, BC2F3</w:t>
            </w:r>
          </w:p>
        </w:tc>
        <w:tc>
          <w:tcPr>
            <w:tcW w:w="2268" w:type="dxa"/>
            <w:tcBorders>
              <w:top w:val="nil"/>
              <w:bottom w:val="nil"/>
              <w:right w:val="nil"/>
            </w:tcBorders>
            <w:vAlign w:val="center"/>
          </w:tcPr>
          <w:p w14:paraId="09EB74FF" w14:textId="3D745D12" w:rsidR="008444CB" w:rsidRPr="00300670" w:rsidRDefault="008444CB" w:rsidP="0011567F">
            <w:pPr>
              <w:pStyle w:val="FSTableText"/>
              <w:cnfStyle w:val="000000000000" w:firstRow="0" w:lastRow="0" w:firstColumn="0" w:lastColumn="0" w:oddVBand="0" w:evenVBand="0" w:oddHBand="0" w:evenHBand="0" w:firstRowFirstColumn="0" w:firstRowLastColumn="0" w:lastRowFirstColumn="0" w:lastRowLastColumn="0"/>
              <w:rPr>
                <w:color w:val="000000" w:themeColor="text1"/>
                <w:sz w:val="18"/>
                <w:lang w:val="en-AU"/>
              </w:rPr>
            </w:pPr>
            <w:r w:rsidRPr="00300670">
              <w:rPr>
                <w:color w:val="000000" w:themeColor="text1"/>
                <w:sz w:val="18"/>
                <w:lang w:val="en-AU"/>
              </w:rPr>
              <w:t>Thorne, C</w:t>
            </w:r>
            <w:r w:rsidR="003D13F9">
              <w:rPr>
                <w:color w:val="000000" w:themeColor="text1"/>
                <w:sz w:val="18"/>
                <w:lang w:val="en-AU"/>
              </w:rPr>
              <w:t>C</w:t>
            </w:r>
            <w:r w:rsidRPr="00300670">
              <w:rPr>
                <w:color w:val="000000" w:themeColor="text1"/>
                <w:sz w:val="18"/>
                <w:lang w:val="en-AU"/>
              </w:rPr>
              <w:t>1 &amp; Thorne spiked with pSZ8832</w:t>
            </w:r>
          </w:p>
        </w:tc>
      </w:tr>
      <w:tr w:rsidR="008444CB" w14:paraId="3ADBFFD9" w14:textId="77777777" w:rsidTr="00C43EA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tcBorders>
            <w:shd w:val="clear" w:color="auto" w:fill="D9D9D9" w:themeFill="background1" w:themeFillShade="D9"/>
            <w:vAlign w:val="center"/>
          </w:tcPr>
          <w:p w14:paraId="307E4E57" w14:textId="327F6DFF" w:rsidR="008444CB" w:rsidRPr="00300670" w:rsidRDefault="008444CB" w:rsidP="00FD0A1A">
            <w:pPr>
              <w:pStyle w:val="FSTableText"/>
              <w:rPr>
                <w:color w:val="000000" w:themeColor="text1"/>
                <w:sz w:val="18"/>
                <w:lang w:val="en-AU"/>
              </w:rPr>
            </w:pPr>
            <w:r w:rsidRPr="00300670">
              <w:rPr>
                <w:color w:val="000000" w:themeColor="text1"/>
                <w:sz w:val="18"/>
                <w:lang w:val="en-AU"/>
              </w:rPr>
              <w:t xml:space="preserve">Insert integrity and site of integration </w:t>
            </w:r>
          </w:p>
          <w:p w14:paraId="6B71C452" w14:textId="6DC7BBB5" w:rsidR="008444CB" w:rsidRPr="00300670" w:rsidRDefault="008444CB" w:rsidP="00FD0A1A">
            <w:pPr>
              <w:pStyle w:val="FSTableText"/>
              <w:rPr>
                <w:color w:val="000000" w:themeColor="text1"/>
                <w:sz w:val="18"/>
                <w:lang w:val="en-AU"/>
              </w:rPr>
            </w:pPr>
            <w:r w:rsidRPr="00300670">
              <w:rPr>
                <w:color w:val="000000" w:themeColor="text1"/>
                <w:sz w:val="18"/>
                <w:lang w:val="en-AU"/>
              </w:rPr>
              <w:t>(Section 3.4.3)</w:t>
            </w:r>
          </w:p>
        </w:tc>
        <w:tc>
          <w:tcPr>
            <w:tcW w:w="2410" w:type="dxa"/>
            <w:tcBorders>
              <w:top w:val="nil"/>
              <w:bottom w:val="nil"/>
            </w:tcBorders>
            <w:shd w:val="clear" w:color="auto" w:fill="D9D9D9" w:themeFill="background1" w:themeFillShade="D9"/>
            <w:vAlign w:val="center"/>
          </w:tcPr>
          <w:p w14:paraId="0685621F" w14:textId="4B20F4D7" w:rsidR="008444CB" w:rsidRPr="00300670" w:rsidRDefault="008444CB" w:rsidP="00FD0A1A">
            <w:pPr>
              <w:pStyle w:val="FSTableText"/>
              <w:cnfStyle w:val="000000100000" w:firstRow="0" w:lastRow="0" w:firstColumn="0" w:lastColumn="0" w:oddVBand="0" w:evenVBand="0" w:oddHBand="1" w:evenHBand="0" w:firstRowFirstColumn="0" w:firstRowLastColumn="0" w:lastRowFirstColumn="0" w:lastRowLastColumn="0"/>
              <w:rPr>
                <w:color w:val="000000" w:themeColor="text1"/>
                <w:sz w:val="18"/>
              </w:rPr>
            </w:pPr>
            <w:r w:rsidRPr="00300670">
              <w:rPr>
                <w:color w:val="000000" w:themeColor="text1"/>
                <w:sz w:val="18"/>
              </w:rPr>
              <w:t>T2, T4, T5, T6, BC2F3</w:t>
            </w:r>
          </w:p>
        </w:tc>
        <w:tc>
          <w:tcPr>
            <w:tcW w:w="2268" w:type="dxa"/>
            <w:tcBorders>
              <w:top w:val="nil"/>
              <w:bottom w:val="nil"/>
              <w:right w:val="nil"/>
            </w:tcBorders>
            <w:shd w:val="clear" w:color="auto" w:fill="D9D9D9" w:themeFill="background1" w:themeFillShade="D9"/>
            <w:vAlign w:val="center"/>
          </w:tcPr>
          <w:p w14:paraId="4611FB21" w14:textId="7D8DB986" w:rsidR="008444CB" w:rsidRPr="00300670" w:rsidRDefault="008444CB" w:rsidP="0011567F">
            <w:pPr>
              <w:pStyle w:val="FSTableText"/>
              <w:cnfStyle w:val="000000100000" w:firstRow="0" w:lastRow="0" w:firstColumn="0" w:lastColumn="0" w:oddVBand="0" w:evenVBand="0" w:oddHBand="1" w:evenHBand="0" w:firstRowFirstColumn="0" w:firstRowLastColumn="0" w:lastRowFirstColumn="0" w:lastRowLastColumn="0"/>
              <w:rPr>
                <w:color w:val="000000" w:themeColor="text1"/>
                <w:sz w:val="18"/>
                <w:lang w:val="en-AU"/>
              </w:rPr>
            </w:pPr>
            <w:r w:rsidRPr="00300670">
              <w:rPr>
                <w:color w:val="000000" w:themeColor="text1"/>
                <w:sz w:val="18"/>
                <w:lang w:val="en-AU"/>
              </w:rPr>
              <w:t>Thorne, C</w:t>
            </w:r>
            <w:r w:rsidR="003D13F9">
              <w:rPr>
                <w:color w:val="000000" w:themeColor="text1"/>
                <w:sz w:val="18"/>
                <w:lang w:val="en-AU"/>
              </w:rPr>
              <w:t>C</w:t>
            </w:r>
            <w:r w:rsidRPr="00300670">
              <w:rPr>
                <w:color w:val="000000" w:themeColor="text1"/>
                <w:sz w:val="18"/>
                <w:lang w:val="en-AU"/>
              </w:rPr>
              <w:t>1 &amp; Thorne spiked with pSZ8832</w:t>
            </w:r>
          </w:p>
        </w:tc>
      </w:tr>
      <w:tr w:rsidR="008444CB" w14:paraId="58757EFC" w14:textId="77777777" w:rsidTr="00C43EA6">
        <w:trPr>
          <w:trHeight w:val="465"/>
        </w:trPr>
        <w:tc>
          <w:tcPr>
            <w:cnfStyle w:val="001000000000" w:firstRow="0" w:lastRow="0" w:firstColumn="1" w:lastColumn="0" w:oddVBand="0" w:evenVBand="0" w:oddHBand="0" w:evenHBand="0" w:firstRowFirstColumn="0" w:firstRowLastColumn="0" w:lastRowFirstColumn="0" w:lastRowLastColumn="0"/>
            <w:tcW w:w="3969" w:type="dxa"/>
            <w:vMerge w:val="restart"/>
            <w:tcBorders>
              <w:top w:val="nil"/>
              <w:left w:val="nil"/>
              <w:bottom w:val="nil"/>
              <w:right w:val="nil"/>
            </w:tcBorders>
            <w:vAlign w:val="center"/>
          </w:tcPr>
          <w:p w14:paraId="4B000634" w14:textId="53469648" w:rsidR="008444CB" w:rsidRPr="00300670" w:rsidRDefault="008444CB" w:rsidP="00FD0A1A">
            <w:pPr>
              <w:pStyle w:val="FSTableText"/>
              <w:rPr>
                <w:color w:val="000000" w:themeColor="text1"/>
                <w:sz w:val="18"/>
                <w:lang w:val="en-AU"/>
              </w:rPr>
            </w:pPr>
            <w:r w:rsidRPr="00300670">
              <w:rPr>
                <w:color w:val="000000" w:themeColor="text1"/>
                <w:sz w:val="18"/>
                <w:lang w:val="en-AU"/>
              </w:rPr>
              <w:t xml:space="preserve">Inheritance &amp; genetic stability of the inserted DNA </w:t>
            </w:r>
          </w:p>
          <w:p w14:paraId="5AFAC611" w14:textId="29D922B9" w:rsidR="008444CB" w:rsidRPr="00300670" w:rsidRDefault="008444CB" w:rsidP="00FD0A1A">
            <w:pPr>
              <w:pStyle w:val="FSTableText"/>
              <w:rPr>
                <w:color w:val="000000" w:themeColor="text1"/>
                <w:sz w:val="18"/>
                <w:lang w:val="en-AU"/>
              </w:rPr>
            </w:pPr>
            <w:r w:rsidRPr="00300670">
              <w:rPr>
                <w:color w:val="000000" w:themeColor="text1"/>
                <w:sz w:val="18"/>
                <w:lang w:val="en-AU"/>
              </w:rPr>
              <w:t>(Section 3.4.4)</w:t>
            </w:r>
          </w:p>
        </w:tc>
        <w:tc>
          <w:tcPr>
            <w:tcW w:w="2410" w:type="dxa"/>
            <w:tcBorders>
              <w:top w:val="nil"/>
              <w:left w:val="nil"/>
            </w:tcBorders>
            <w:vAlign w:val="center"/>
          </w:tcPr>
          <w:p w14:paraId="618D5776" w14:textId="43D797DD" w:rsidR="008444CB" w:rsidRPr="00300670" w:rsidRDefault="008444CB" w:rsidP="00FD0A1A">
            <w:pPr>
              <w:pStyle w:val="FSTableText"/>
              <w:cnfStyle w:val="000000000000" w:firstRow="0" w:lastRow="0" w:firstColumn="0" w:lastColumn="0" w:oddVBand="0" w:evenVBand="0" w:oddHBand="0" w:evenHBand="0" w:firstRowFirstColumn="0" w:firstRowLastColumn="0" w:lastRowFirstColumn="0" w:lastRowLastColumn="0"/>
              <w:rPr>
                <w:color w:val="000000" w:themeColor="text1"/>
                <w:sz w:val="18"/>
              </w:rPr>
            </w:pPr>
            <w:r w:rsidRPr="00300670">
              <w:rPr>
                <w:color w:val="000000" w:themeColor="text1"/>
                <w:sz w:val="18"/>
              </w:rPr>
              <w:t>F2, BC2F2</w:t>
            </w:r>
          </w:p>
        </w:tc>
        <w:tc>
          <w:tcPr>
            <w:tcW w:w="2268" w:type="dxa"/>
            <w:tcBorders>
              <w:top w:val="nil"/>
              <w:right w:val="nil"/>
            </w:tcBorders>
            <w:vAlign w:val="center"/>
          </w:tcPr>
          <w:p w14:paraId="0661292E" w14:textId="7268AA6D" w:rsidR="008444CB" w:rsidRPr="00300670" w:rsidRDefault="008444CB" w:rsidP="0011567F">
            <w:pPr>
              <w:pStyle w:val="FSTableText"/>
              <w:cnfStyle w:val="000000000000" w:firstRow="0" w:lastRow="0" w:firstColumn="0" w:lastColumn="0" w:oddVBand="0" w:evenVBand="0" w:oddHBand="0" w:evenHBand="0" w:firstRowFirstColumn="0" w:firstRowLastColumn="0" w:lastRowFirstColumn="0" w:lastRowLastColumn="0"/>
              <w:rPr>
                <w:color w:val="000000" w:themeColor="text1"/>
                <w:sz w:val="18"/>
                <w:lang w:val="en-AU"/>
              </w:rPr>
            </w:pPr>
            <w:r w:rsidRPr="00300670">
              <w:rPr>
                <w:color w:val="000000" w:themeColor="text1"/>
                <w:sz w:val="18"/>
                <w:lang w:val="en-AU"/>
              </w:rPr>
              <w:t>C</w:t>
            </w:r>
            <w:r w:rsidR="003D13F9">
              <w:rPr>
                <w:color w:val="000000" w:themeColor="text1"/>
                <w:sz w:val="18"/>
                <w:lang w:val="en-AU"/>
              </w:rPr>
              <w:t>C</w:t>
            </w:r>
            <w:r w:rsidRPr="00300670">
              <w:rPr>
                <w:color w:val="000000" w:themeColor="text1"/>
                <w:sz w:val="18"/>
                <w:lang w:val="en-AU"/>
              </w:rPr>
              <w:t>1</w:t>
            </w:r>
          </w:p>
        </w:tc>
      </w:tr>
      <w:tr w:rsidR="008444CB" w14:paraId="2ACE706B" w14:textId="77777777" w:rsidTr="00C43EA6">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969" w:type="dxa"/>
            <w:vMerge/>
            <w:tcBorders>
              <w:left w:val="nil"/>
              <w:bottom w:val="nil"/>
              <w:right w:val="nil"/>
            </w:tcBorders>
          </w:tcPr>
          <w:p w14:paraId="43FFA590" w14:textId="1DD27DF0" w:rsidR="008444CB" w:rsidRPr="00300670" w:rsidRDefault="008444CB" w:rsidP="008444CB">
            <w:pPr>
              <w:pStyle w:val="FSTableText"/>
              <w:rPr>
                <w:color w:val="000000" w:themeColor="text1"/>
                <w:sz w:val="18"/>
                <w:lang w:val="en-AU"/>
              </w:rPr>
            </w:pPr>
          </w:p>
        </w:tc>
        <w:tc>
          <w:tcPr>
            <w:tcW w:w="2410" w:type="dxa"/>
            <w:tcBorders>
              <w:left w:val="nil"/>
              <w:bottom w:val="nil"/>
            </w:tcBorders>
            <w:shd w:val="clear" w:color="auto" w:fill="FFFFFF" w:themeFill="background1"/>
            <w:vAlign w:val="center"/>
          </w:tcPr>
          <w:p w14:paraId="417F5BC8" w14:textId="0EE1795B" w:rsidR="008444CB" w:rsidRPr="00300670" w:rsidRDefault="008444CB" w:rsidP="00FD0A1A">
            <w:pPr>
              <w:pStyle w:val="FSTableText"/>
              <w:cnfStyle w:val="000000100000" w:firstRow="0" w:lastRow="0" w:firstColumn="0" w:lastColumn="0" w:oddVBand="0" w:evenVBand="0" w:oddHBand="1" w:evenHBand="0" w:firstRowFirstColumn="0" w:firstRowLastColumn="0" w:lastRowFirstColumn="0" w:lastRowLastColumn="0"/>
              <w:rPr>
                <w:color w:val="000000" w:themeColor="text1"/>
                <w:sz w:val="18"/>
              </w:rPr>
            </w:pPr>
            <w:r w:rsidRPr="00300670">
              <w:rPr>
                <w:color w:val="000000" w:themeColor="text1"/>
                <w:sz w:val="18"/>
              </w:rPr>
              <w:t>F2, BC1F2, BC2F2</w:t>
            </w:r>
          </w:p>
        </w:tc>
        <w:tc>
          <w:tcPr>
            <w:tcW w:w="2268" w:type="dxa"/>
            <w:tcBorders>
              <w:bottom w:val="nil"/>
              <w:right w:val="nil"/>
            </w:tcBorders>
            <w:shd w:val="clear" w:color="auto" w:fill="FFFFFF" w:themeFill="background1"/>
            <w:vAlign w:val="center"/>
          </w:tcPr>
          <w:p w14:paraId="4DF0D2A9" w14:textId="15089736" w:rsidR="008444CB" w:rsidRPr="00300670" w:rsidRDefault="008444CB" w:rsidP="0011567F">
            <w:pPr>
              <w:pStyle w:val="FSTableText"/>
              <w:cnfStyle w:val="000000100000" w:firstRow="0" w:lastRow="0" w:firstColumn="0" w:lastColumn="0" w:oddVBand="0" w:evenVBand="0" w:oddHBand="1" w:evenHBand="0" w:firstRowFirstColumn="0" w:firstRowLastColumn="0" w:lastRowFirstColumn="0" w:lastRowLastColumn="0"/>
              <w:rPr>
                <w:color w:val="000000" w:themeColor="text1"/>
                <w:sz w:val="18"/>
                <w:lang w:val="en-AU"/>
              </w:rPr>
            </w:pPr>
            <w:r w:rsidRPr="00300670">
              <w:rPr>
                <w:color w:val="000000" w:themeColor="text1"/>
                <w:sz w:val="18"/>
                <w:lang w:val="en-AU"/>
              </w:rPr>
              <w:t>C</w:t>
            </w:r>
            <w:r w:rsidR="003D13F9">
              <w:rPr>
                <w:color w:val="000000" w:themeColor="text1"/>
                <w:sz w:val="18"/>
                <w:lang w:val="en-AU"/>
              </w:rPr>
              <w:t>C</w:t>
            </w:r>
            <w:r w:rsidRPr="00300670">
              <w:rPr>
                <w:color w:val="000000" w:themeColor="text1"/>
                <w:sz w:val="18"/>
                <w:lang w:val="en-AU"/>
              </w:rPr>
              <w:t>2</w:t>
            </w:r>
          </w:p>
        </w:tc>
      </w:tr>
    </w:tbl>
    <w:p w14:paraId="4EF2FE94" w14:textId="6632080B" w:rsidR="00930CCF" w:rsidRPr="00085B6B" w:rsidRDefault="00930CCF" w:rsidP="00221257">
      <w:pPr>
        <w:pStyle w:val="Heading3"/>
      </w:pPr>
      <w:bookmarkStart w:id="103" w:name="_Toc482255815"/>
      <w:bookmarkStart w:id="104" w:name="_Toc489531027"/>
      <w:bookmarkStart w:id="105" w:name="_Toc491439828"/>
      <w:bookmarkStart w:id="106" w:name="_Toc493515858"/>
      <w:bookmarkStart w:id="107" w:name="_Toc495489328"/>
      <w:bookmarkStart w:id="108" w:name="_Toc496169781"/>
      <w:r w:rsidRPr="00085B6B">
        <w:t xml:space="preserve">3.4.1 </w:t>
      </w:r>
      <w:r w:rsidRPr="00085B6B">
        <w:tab/>
      </w:r>
      <w:r w:rsidR="000F6385">
        <w:t>Identifying the number of insertion</w:t>
      </w:r>
      <w:r>
        <w:t xml:space="preserve"> sites</w:t>
      </w:r>
      <w:bookmarkEnd w:id="103"/>
      <w:bookmarkEnd w:id="104"/>
      <w:bookmarkEnd w:id="105"/>
      <w:bookmarkEnd w:id="106"/>
      <w:bookmarkEnd w:id="107"/>
      <w:bookmarkEnd w:id="108"/>
    </w:p>
    <w:p w14:paraId="1DE652E2" w14:textId="03AFD795" w:rsidR="00930CCF" w:rsidRDefault="000F6385" w:rsidP="00930CCF">
      <w:pPr>
        <w:rPr>
          <w:iCs/>
          <w:color w:val="000000" w:themeColor="text1"/>
        </w:rPr>
      </w:pPr>
      <w:r>
        <w:rPr>
          <w:iCs/>
          <w:color w:val="000000" w:themeColor="text1"/>
        </w:rPr>
        <w:t>Next-generation sequence analysis was performed on seed-derived genomic DNA from GMB151</w:t>
      </w:r>
      <w:r w:rsidR="0011567F">
        <w:rPr>
          <w:iCs/>
          <w:color w:val="000000" w:themeColor="text1"/>
        </w:rPr>
        <w:t>,</w:t>
      </w:r>
      <w:r>
        <w:rPr>
          <w:iCs/>
          <w:color w:val="000000" w:themeColor="text1"/>
        </w:rPr>
        <w:t xml:space="preserve"> the parental Thorne cultivar</w:t>
      </w:r>
      <w:r w:rsidR="0011567F">
        <w:rPr>
          <w:iCs/>
          <w:color w:val="000000" w:themeColor="text1"/>
        </w:rPr>
        <w:t xml:space="preserve"> and the commercial cultivar (C</w:t>
      </w:r>
      <w:r w:rsidR="008546BD">
        <w:rPr>
          <w:iCs/>
          <w:color w:val="000000" w:themeColor="text1"/>
        </w:rPr>
        <w:t>C</w:t>
      </w:r>
      <w:r w:rsidR="0011567F">
        <w:rPr>
          <w:iCs/>
          <w:color w:val="000000" w:themeColor="text1"/>
        </w:rPr>
        <w:t>1)</w:t>
      </w:r>
      <w:r>
        <w:rPr>
          <w:iCs/>
          <w:color w:val="000000" w:themeColor="text1"/>
        </w:rPr>
        <w:t xml:space="preserve">. </w:t>
      </w:r>
      <w:r>
        <w:rPr>
          <w:color w:val="000000" w:themeColor="text1"/>
        </w:rPr>
        <w:t xml:space="preserve">A reference sequence was generated using </w:t>
      </w:r>
      <w:r w:rsidR="0011567F">
        <w:rPr>
          <w:color w:val="000000" w:themeColor="text1"/>
        </w:rPr>
        <w:t>Thorne</w:t>
      </w:r>
      <w:r>
        <w:rPr>
          <w:color w:val="000000" w:themeColor="text1"/>
        </w:rPr>
        <w:t xml:space="preserve"> </w:t>
      </w:r>
      <w:r w:rsidR="00D43839">
        <w:rPr>
          <w:color w:val="000000" w:themeColor="text1"/>
        </w:rPr>
        <w:t xml:space="preserve">DNA </w:t>
      </w:r>
      <w:r>
        <w:rPr>
          <w:color w:val="000000" w:themeColor="text1"/>
        </w:rPr>
        <w:t>spiked with an equimolar amount of pSV8832</w:t>
      </w:r>
      <w:r>
        <w:rPr>
          <w:iCs/>
          <w:color w:val="000000" w:themeColor="text1"/>
        </w:rPr>
        <w:t>. After preparation of a paired-end library with 500-600 bp lengths of sheared genomic DNA, the samples were sequenced using Illumina HiSeq technology. Sufficient sequence fragments were obtained to cover the entire genomes of GMB151</w:t>
      </w:r>
      <w:r w:rsidR="0011567F">
        <w:rPr>
          <w:iCs/>
          <w:color w:val="000000" w:themeColor="text1"/>
        </w:rPr>
        <w:t>,</w:t>
      </w:r>
      <w:r>
        <w:rPr>
          <w:iCs/>
          <w:color w:val="000000" w:themeColor="text1"/>
        </w:rPr>
        <w:t xml:space="preserve"> Thorne</w:t>
      </w:r>
      <w:r w:rsidR="0011567F">
        <w:rPr>
          <w:iCs/>
          <w:color w:val="000000" w:themeColor="text1"/>
        </w:rPr>
        <w:t xml:space="preserve"> and C</w:t>
      </w:r>
      <w:r w:rsidR="008546BD">
        <w:rPr>
          <w:iCs/>
          <w:color w:val="000000" w:themeColor="text1"/>
        </w:rPr>
        <w:t>C</w:t>
      </w:r>
      <w:r w:rsidR="0011567F">
        <w:rPr>
          <w:iCs/>
          <w:color w:val="000000" w:themeColor="text1"/>
        </w:rPr>
        <w:t>1</w:t>
      </w:r>
      <w:r>
        <w:rPr>
          <w:iCs/>
          <w:color w:val="000000" w:themeColor="text1"/>
        </w:rPr>
        <w:t>, with a depth of coverage &gt; 80x. Comparison of the sequence between the Thorne</w:t>
      </w:r>
      <w:r w:rsidR="0011567F">
        <w:rPr>
          <w:iCs/>
          <w:color w:val="000000" w:themeColor="text1"/>
        </w:rPr>
        <w:t>, C</w:t>
      </w:r>
      <w:r w:rsidR="008546BD">
        <w:rPr>
          <w:iCs/>
          <w:color w:val="000000" w:themeColor="text1"/>
        </w:rPr>
        <w:t>C</w:t>
      </w:r>
      <w:r w:rsidR="0011567F">
        <w:rPr>
          <w:iCs/>
          <w:color w:val="000000" w:themeColor="text1"/>
        </w:rPr>
        <w:t>1</w:t>
      </w:r>
      <w:r>
        <w:rPr>
          <w:iCs/>
          <w:color w:val="000000" w:themeColor="text1"/>
        </w:rPr>
        <w:t xml:space="preserve"> and GMB151 showed that a single integration event has occurred, with only two junction sites detected.</w:t>
      </w:r>
    </w:p>
    <w:p w14:paraId="73E0FB7B" w14:textId="77777777" w:rsidR="00930CCF" w:rsidRDefault="00930CCF" w:rsidP="00221257">
      <w:pPr>
        <w:pStyle w:val="Heading3"/>
      </w:pPr>
      <w:bookmarkStart w:id="109" w:name="_Toc496169782"/>
      <w:r>
        <w:t xml:space="preserve">3.4.2 </w:t>
      </w:r>
      <w:r>
        <w:tab/>
        <w:t>Detection of backbone sequence</w:t>
      </w:r>
      <w:bookmarkEnd w:id="109"/>
    </w:p>
    <w:p w14:paraId="3B5F4CCD" w14:textId="6C3AC63F" w:rsidR="008444CB" w:rsidRDefault="000F6385" w:rsidP="00930CCF">
      <w:pPr>
        <w:rPr>
          <w:iCs/>
          <w:color w:val="000000" w:themeColor="text1"/>
        </w:rPr>
      </w:pPr>
      <w:r>
        <w:rPr>
          <w:iCs/>
          <w:color w:val="000000" w:themeColor="text1"/>
        </w:rPr>
        <w:t xml:space="preserve">Next-generation sequencing of seed-derived DNA from GMB151 and the parental </w:t>
      </w:r>
      <w:r w:rsidR="00FD0A1A">
        <w:rPr>
          <w:iCs/>
          <w:color w:val="000000" w:themeColor="text1"/>
        </w:rPr>
        <w:t>Thorne</w:t>
      </w:r>
      <w:r>
        <w:rPr>
          <w:iCs/>
          <w:color w:val="000000" w:themeColor="text1"/>
        </w:rPr>
        <w:t xml:space="preserve"> cultivar resulted in zero reads that mapped to the backbone sequences</w:t>
      </w:r>
      <w:r w:rsidR="00FD0A1A">
        <w:rPr>
          <w:iCs/>
          <w:color w:val="000000" w:themeColor="text1"/>
        </w:rPr>
        <w:t xml:space="preserve"> of pSV8832,</w:t>
      </w:r>
      <w:r>
        <w:rPr>
          <w:iCs/>
          <w:color w:val="000000" w:themeColor="text1"/>
        </w:rPr>
        <w:t xml:space="preserve"> shown in </w:t>
      </w:r>
      <w:hyperlink w:anchor="Figure1" w:history="1">
        <w:r w:rsidRPr="002F082A">
          <w:rPr>
            <w:rStyle w:val="Hyperlink"/>
            <w:iCs/>
          </w:rPr>
          <w:t>Figure 1</w:t>
        </w:r>
      </w:hyperlink>
      <w:r>
        <w:rPr>
          <w:iCs/>
          <w:color w:val="000000" w:themeColor="text1"/>
        </w:rPr>
        <w:t xml:space="preserve">. </w:t>
      </w:r>
    </w:p>
    <w:p w14:paraId="350BCFF9" w14:textId="0887A7AA" w:rsidR="008444CB" w:rsidRPr="00085B6B" w:rsidRDefault="008444CB" w:rsidP="00221257">
      <w:pPr>
        <w:pStyle w:val="Heading3"/>
      </w:pPr>
      <w:bookmarkStart w:id="110" w:name="_Toc482255818"/>
      <w:bookmarkStart w:id="111" w:name="_Toc489531030"/>
      <w:bookmarkStart w:id="112" w:name="_Toc491439831"/>
      <w:bookmarkStart w:id="113" w:name="_Toc493515861"/>
      <w:bookmarkStart w:id="114" w:name="_Toc495489331"/>
      <w:bookmarkStart w:id="115" w:name="_Toc496169784"/>
      <w:r w:rsidRPr="00085B6B">
        <w:t>3.4.</w:t>
      </w:r>
      <w:r>
        <w:t>3</w:t>
      </w:r>
      <w:r w:rsidRPr="00085B6B">
        <w:t xml:space="preserve"> </w:t>
      </w:r>
      <w:r w:rsidRPr="00085B6B">
        <w:tab/>
        <w:t xml:space="preserve">Insert integrity and </w:t>
      </w:r>
      <w:r>
        <w:t>site of integration</w:t>
      </w:r>
      <w:bookmarkEnd w:id="110"/>
      <w:bookmarkEnd w:id="111"/>
      <w:bookmarkEnd w:id="112"/>
      <w:bookmarkEnd w:id="113"/>
      <w:bookmarkEnd w:id="114"/>
      <w:bookmarkEnd w:id="115"/>
    </w:p>
    <w:p w14:paraId="25E40E1F" w14:textId="56D09A62" w:rsidR="007773B7" w:rsidRDefault="00FD0A1A" w:rsidP="00FD0A1A">
      <w:pPr>
        <w:rPr>
          <w:iCs/>
          <w:color w:val="000000" w:themeColor="text1"/>
        </w:rPr>
      </w:pPr>
      <w:bookmarkStart w:id="116" w:name="_Toc482255817"/>
      <w:bookmarkStart w:id="117" w:name="_Toc489531029"/>
      <w:bookmarkStart w:id="118" w:name="_Toc491439830"/>
      <w:bookmarkStart w:id="119" w:name="_Toc493515860"/>
      <w:bookmarkStart w:id="120" w:name="_Toc495489330"/>
      <w:bookmarkStart w:id="121" w:name="_Toc496169783"/>
      <w:r>
        <w:rPr>
          <w:iCs/>
          <w:color w:val="000000" w:themeColor="text1"/>
        </w:rPr>
        <w:t xml:space="preserve">Next-generation sequencing of the seed-derived DNA from GMB151, using the plasmid DNA as a reference sequence, showed that a single copy of the DNA was integrated into the host genome. No insertions or rearrangements of the inserted DNA were detected. There was </w:t>
      </w:r>
      <w:r w:rsidR="0089561E">
        <w:rPr>
          <w:iCs/>
          <w:color w:val="000000" w:themeColor="text1"/>
        </w:rPr>
        <w:t>a deletion</w:t>
      </w:r>
      <w:r>
        <w:rPr>
          <w:iCs/>
          <w:color w:val="000000" w:themeColor="text1"/>
        </w:rPr>
        <w:t xml:space="preserve"> </w:t>
      </w:r>
      <w:r w:rsidR="005B1A6F">
        <w:rPr>
          <w:iCs/>
          <w:color w:val="000000" w:themeColor="text1"/>
        </w:rPr>
        <w:t>at</w:t>
      </w:r>
      <w:r>
        <w:rPr>
          <w:iCs/>
          <w:color w:val="000000" w:themeColor="text1"/>
        </w:rPr>
        <w:t xml:space="preserve"> the </w:t>
      </w:r>
      <w:r w:rsidR="0089561E">
        <w:rPr>
          <w:iCs/>
          <w:color w:val="000000" w:themeColor="text1"/>
        </w:rPr>
        <w:t xml:space="preserve">LB </w:t>
      </w:r>
      <w:r w:rsidR="00633E11">
        <w:rPr>
          <w:iCs/>
          <w:color w:val="000000" w:themeColor="text1"/>
        </w:rPr>
        <w:t xml:space="preserve">of the T-DNA, </w:t>
      </w:r>
      <w:r w:rsidR="005B1A6F">
        <w:rPr>
          <w:iCs/>
          <w:color w:val="000000" w:themeColor="text1"/>
        </w:rPr>
        <w:t xml:space="preserve">resulting in the deletion of </w:t>
      </w:r>
      <w:r w:rsidR="00633E11">
        <w:rPr>
          <w:iCs/>
          <w:color w:val="000000" w:themeColor="text1"/>
        </w:rPr>
        <w:t xml:space="preserve">the </w:t>
      </w:r>
      <w:r w:rsidR="0089561E">
        <w:rPr>
          <w:iCs/>
          <w:color w:val="000000" w:themeColor="text1"/>
        </w:rPr>
        <w:t>LB</w:t>
      </w:r>
      <w:r w:rsidR="00633E11">
        <w:rPr>
          <w:iCs/>
          <w:color w:val="000000" w:themeColor="text1"/>
        </w:rPr>
        <w:t xml:space="preserve"> sequence and </w:t>
      </w:r>
      <w:r w:rsidR="0089561E">
        <w:rPr>
          <w:iCs/>
          <w:color w:val="000000" w:themeColor="text1"/>
        </w:rPr>
        <w:t xml:space="preserve">a truncation of </w:t>
      </w:r>
      <w:r w:rsidR="00633E11">
        <w:rPr>
          <w:iCs/>
          <w:color w:val="000000" w:themeColor="text1"/>
        </w:rPr>
        <w:t>481 bp of the P2x35S promoter sequence.</w:t>
      </w:r>
      <w:r>
        <w:rPr>
          <w:iCs/>
          <w:color w:val="000000" w:themeColor="text1"/>
        </w:rPr>
        <w:t xml:space="preserve"> </w:t>
      </w:r>
      <w:r w:rsidR="007773B7" w:rsidRPr="00583588">
        <w:rPr>
          <w:iCs/>
        </w:rPr>
        <w:t>Functional and protein expression analyses presented in Section</w:t>
      </w:r>
      <w:r w:rsidR="00D54914" w:rsidRPr="00583588">
        <w:rPr>
          <w:iCs/>
        </w:rPr>
        <w:t xml:space="preserve"> 4.2.1 and Section 4.2.2, indicate</w:t>
      </w:r>
      <w:r w:rsidR="007773B7" w:rsidRPr="00583588">
        <w:rPr>
          <w:iCs/>
        </w:rPr>
        <w:t xml:space="preserve"> the small deletion </w:t>
      </w:r>
      <w:r w:rsidR="00D54914" w:rsidRPr="00583588">
        <w:rPr>
          <w:iCs/>
        </w:rPr>
        <w:t xml:space="preserve">of the promoter sequence </w:t>
      </w:r>
      <w:r w:rsidR="007773B7" w:rsidRPr="00583588">
        <w:rPr>
          <w:iCs/>
        </w:rPr>
        <w:t xml:space="preserve">does </w:t>
      </w:r>
      <w:r w:rsidR="00D54914" w:rsidRPr="00583588">
        <w:rPr>
          <w:iCs/>
        </w:rPr>
        <w:t>not impact protein expression and function.</w:t>
      </w:r>
    </w:p>
    <w:p w14:paraId="6F24BF2D" w14:textId="77777777" w:rsidR="007773B7" w:rsidRDefault="007773B7" w:rsidP="00FD0A1A">
      <w:pPr>
        <w:rPr>
          <w:iCs/>
          <w:color w:val="000000" w:themeColor="text1"/>
        </w:rPr>
      </w:pPr>
    </w:p>
    <w:p w14:paraId="43C80A3D" w14:textId="31824F30" w:rsidR="00FD0A1A" w:rsidRDefault="00633E11" w:rsidP="00FD0A1A">
      <w:pPr>
        <w:rPr>
          <w:color w:val="000000" w:themeColor="text1"/>
        </w:rPr>
      </w:pPr>
      <w:r>
        <w:rPr>
          <w:iCs/>
          <w:color w:val="000000" w:themeColor="text1"/>
        </w:rPr>
        <w:t xml:space="preserve">At the junction between the </w:t>
      </w:r>
      <w:r w:rsidR="0089561E">
        <w:rPr>
          <w:iCs/>
          <w:color w:val="000000" w:themeColor="text1"/>
        </w:rPr>
        <w:t>LB</w:t>
      </w:r>
      <w:r>
        <w:rPr>
          <w:iCs/>
          <w:color w:val="000000" w:themeColor="text1"/>
        </w:rPr>
        <w:t xml:space="preserve"> region and 3’ flanking genome sequence, there has been an insertion of 39 bp filler DNA. Within the filler DNA, there was sequence similarity to the ORIpVS1 sequence from the vector backbone and sequence similarity to the </w:t>
      </w:r>
      <w:r w:rsidR="001B2386">
        <w:rPr>
          <w:iCs/>
          <w:color w:val="000000" w:themeColor="text1"/>
        </w:rPr>
        <w:t>3’ genomic flanking sequence.</w:t>
      </w:r>
    </w:p>
    <w:p w14:paraId="6C3D9608" w14:textId="77777777" w:rsidR="00FD0A1A" w:rsidRDefault="00FD0A1A" w:rsidP="00FD0A1A">
      <w:pPr>
        <w:rPr>
          <w:color w:val="000000" w:themeColor="text1"/>
        </w:rPr>
      </w:pPr>
    </w:p>
    <w:p w14:paraId="11B1A2E0" w14:textId="239AC972" w:rsidR="00FD0A1A" w:rsidRDefault="00FD0A1A" w:rsidP="00FD0A1A">
      <w:pPr>
        <w:widowControl/>
        <w:rPr>
          <w:color w:val="000000" w:themeColor="text1"/>
        </w:rPr>
      </w:pPr>
      <w:r>
        <w:rPr>
          <w:color w:val="000000" w:themeColor="text1"/>
        </w:rPr>
        <w:t xml:space="preserve">Next-generation sequencing of both </w:t>
      </w:r>
      <w:r w:rsidR="0011567F">
        <w:rPr>
          <w:iCs/>
          <w:color w:val="000000" w:themeColor="text1"/>
        </w:rPr>
        <w:t>GMB151</w:t>
      </w:r>
      <w:r w:rsidR="005B1A6F">
        <w:rPr>
          <w:iCs/>
          <w:color w:val="000000" w:themeColor="text1"/>
        </w:rPr>
        <w:t>,</w:t>
      </w:r>
      <w:r>
        <w:rPr>
          <w:color w:val="000000" w:themeColor="text1"/>
        </w:rPr>
        <w:t xml:space="preserve"> </w:t>
      </w:r>
      <w:r w:rsidR="0011567F">
        <w:rPr>
          <w:color w:val="000000" w:themeColor="text1"/>
        </w:rPr>
        <w:t>Thorne</w:t>
      </w:r>
      <w:r>
        <w:rPr>
          <w:color w:val="000000" w:themeColor="text1"/>
        </w:rPr>
        <w:t xml:space="preserve"> </w:t>
      </w:r>
      <w:r w:rsidR="005B1A6F">
        <w:rPr>
          <w:color w:val="000000" w:themeColor="text1"/>
        </w:rPr>
        <w:t>and C</w:t>
      </w:r>
      <w:r w:rsidR="008546BD">
        <w:rPr>
          <w:color w:val="000000" w:themeColor="text1"/>
        </w:rPr>
        <w:t>C</w:t>
      </w:r>
      <w:r w:rsidR="005B1A6F">
        <w:rPr>
          <w:color w:val="000000" w:themeColor="text1"/>
        </w:rPr>
        <w:t xml:space="preserve">1 </w:t>
      </w:r>
      <w:r>
        <w:rPr>
          <w:color w:val="000000" w:themeColor="text1"/>
        </w:rPr>
        <w:t>genomic DNA was also used to identify the site of integration. Based on the identified host genomic DNA sequence flanking the insert, a PCR was designed to produce two overlapping fragments, with primer pairs that bound to the flanking sequences and within the insert. Sequence analysis of the PCR fragments confirmed the insertion site and sequence of the inserted DNA.</w:t>
      </w:r>
    </w:p>
    <w:p w14:paraId="31654D59" w14:textId="02BB808A" w:rsidR="00930CCF" w:rsidRDefault="008444CB" w:rsidP="00221257">
      <w:pPr>
        <w:pStyle w:val="Heading3"/>
      </w:pPr>
      <w:r>
        <w:t>3.4.4</w:t>
      </w:r>
      <w:r w:rsidR="00930CCF">
        <w:tab/>
        <w:t>Inheritance and genetic stability of the inserted DNA</w:t>
      </w:r>
      <w:bookmarkEnd w:id="116"/>
      <w:bookmarkEnd w:id="117"/>
      <w:bookmarkEnd w:id="118"/>
      <w:bookmarkEnd w:id="119"/>
      <w:bookmarkEnd w:id="120"/>
      <w:bookmarkEnd w:id="121"/>
    </w:p>
    <w:p w14:paraId="1B6C84BE" w14:textId="4B2602E2" w:rsidR="00E840C1" w:rsidRDefault="00930CCF" w:rsidP="00E840C1">
      <w:pPr>
        <w:rPr>
          <w:iCs/>
        </w:rPr>
      </w:pPr>
      <w:r w:rsidRPr="0046143B">
        <w:rPr>
          <w:iCs/>
        </w:rPr>
        <w:t xml:space="preserve">Since it was demonstrated that the insert is present at a single locus in the </w:t>
      </w:r>
      <w:r>
        <w:rPr>
          <w:iCs/>
        </w:rPr>
        <w:t>G</w:t>
      </w:r>
      <w:r w:rsidR="00E840C1">
        <w:rPr>
          <w:iCs/>
        </w:rPr>
        <w:t>M</w:t>
      </w:r>
      <w:r>
        <w:rPr>
          <w:iCs/>
        </w:rPr>
        <w:t>B</w:t>
      </w:r>
      <w:r w:rsidR="00E840C1">
        <w:rPr>
          <w:iCs/>
        </w:rPr>
        <w:t>151</w:t>
      </w:r>
      <w:r w:rsidRPr="0046143B">
        <w:rPr>
          <w:iCs/>
        </w:rPr>
        <w:t xml:space="preserve"> genome, the</w:t>
      </w:r>
      <w:r>
        <w:rPr>
          <w:iCs/>
        </w:rPr>
        <w:t xml:space="preserve">re is the </w:t>
      </w:r>
      <w:r w:rsidRPr="0046143B">
        <w:rPr>
          <w:iCs/>
        </w:rPr>
        <w:t xml:space="preserve">expectation that the genetic elements within </w:t>
      </w:r>
      <w:r>
        <w:rPr>
          <w:iCs/>
        </w:rPr>
        <w:t>this locus</w:t>
      </w:r>
      <w:r w:rsidRPr="0046143B">
        <w:rPr>
          <w:iCs/>
        </w:rPr>
        <w:t xml:space="preserve"> would be inherited according to Mendelian principles</w:t>
      </w:r>
      <w:r w:rsidR="00E840C1">
        <w:rPr>
          <w:iCs/>
        </w:rPr>
        <w:t xml:space="preserve">. </w:t>
      </w:r>
    </w:p>
    <w:p w14:paraId="1F8AB104" w14:textId="2978FBD5" w:rsidR="00D6751F" w:rsidRPr="0046143B" w:rsidRDefault="00D6751F" w:rsidP="00D6751F">
      <w:pPr>
        <w:spacing w:before="240"/>
        <w:rPr>
          <w:iCs/>
        </w:rPr>
      </w:pPr>
      <w:r w:rsidRPr="0046143B">
        <w:rPr>
          <w:iCs/>
        </w:rPr>
        <w:t>Chi-square (Χ</w:t>
      </w:r>
      <w:r w:rsidRPr="00870A61">
        <w:rPr>
          <w:iCs/>
          <w:vertAlign w:val="superscript"/>
        </w:rPr>
        <w:t>2</w:t>
      </w:r>
      <w:r w:rsidRPr="0046143B">
        <w:rPr>
          <w:iCs/>
        </w:rPr>
        <w:t xml:space="preserve">) analysis was undertaken over several generations </w:t>
      </w:r>
      <w:r>
        <w:rPr>
          <w:iCs/>
        </w:rPr>
        <w:t>(</w:t>
      </w:r>
      <w:hyperlink w:anchor="Table3" w:history="1">
        <w:r w:rsidRPr="002F082A">
          <w:rPr>
            <w:rStyle w:val="Hyperlink"/>
            <w:iCs/>
          </w:rPr>
          <w:t xml:space="preserve">Table </w:t>
        </w:r>
        <w:r w:rsidR="00A04498" w:rsidRPr="002F082A">
          <w:rPr>
            <w:rStyle w:val="Hyperlink"/>
            <w:iCs/>
          </w:rPr>
          <w:t>3</w:t>
        </w:r>
      </w:hyperlink>
      <w:r>
        <w:rPr>
          <w:iCs/>
        </w:rPr>
        <w:t xml:space="preserve">) </w:t>
      </w:r>
      <w:r w:rsidRPr="0046143B">
        <w:rPr>
          <w:iCs/>
        </w:rPr>
        <w:t xml:space="preserve">to confirm the segregation and stability of the T-DNA insert in </w:t>
      </w:r>
      <w:r>
        <w:rPr>
          <w:iCs/>
        </w:rPr>
        <w:t>GMB151.</w:t>
      </w:r>
      <w:r w:rsidRPr="0046143B">
        <w:rPr>
          <w:iCs/>
        </w:rPr>
        <w:t xml:space="preserve"> The inheritance pattern </w:t>
      </w:r>
      <w:r>
        <w:rPr>
          <w:iCs/>
        </w:rPr>
        <w:t>was analysed</w:t>
      </w:r>
      <w:r w:rsidRPr="0046143B">
        <w:rPr>
          <w:iCs/>
        </w:rPr>
        <w:t xml:space="preserve"> by </w:t>
      </w:r>
      <w:r>
        <w:rPr>
          <w:iCs/>
        </w:rPr>
        <w:t>quantitative real-time</w:t>
      </w:r>
      <w:r w:rsidRPr="0046143B">
        <w:rPr>
          <w:iCs/>
        </w:rPr>
        <w:t xml:space="preserve"> PCR </w:t>
      </w:r>
      <w:r>
        <w:rPr>
          <w:iCs/>
        </w:rPr>
        <w:t xml:space="preserve">using primers targeting the </w:t>
      </w:r>
      <w:r>
        <w:rPr>
          <w:i/>
          <w:iCs/>
        </w:rPr>
        <w:t>cry14Ab-1.b</w:t>
      </w:r>
      <w:r>
        <w:rPr>
          <w:iCs/>
        </w:rPr>
        <w:t xml:space="preserve"> and </w:t>
      </w:r>
      <w:r w:rsidRPr="00D828CE">
        <w:rPr>
          <w:i/>
          <w:iCs/>
        </w:rPr>
        <w:t>hppdPf</w:t>
      </w:r>
      <w:r>
        <w:rPr>
          <w:i/>
          <w:iCs/>
        </w:rPr>
        <w:t>-4</w:t>
      </w:r>
      <w:r w:rsidRPr="00D828CE">
        <w:rPr>
          <w:i/>
          <w:iCs/>
        </w:rPr>
        <w:t>Pa</w:t>
      </w:r>
      <w:r>
        <w:rPr>
          <w:iCs/>
        </w:rPr>
        <w:t xml:space="preserve"> genes and an endogenous soybean gene.</w:t>
      </w:r>
    </w:p>
    <w:p w14:paraId="26B5BA13" w14:textId="77777777" w:rsidR="00D6751F" w:rsidRDefault="00D6751F" w:rsidP="00D6751F">
      <w:pPr>
        <w:rPr>
          <w:iCs/>
        </w:rPr>
      </w:pPr>
    </w:p>
    <w:p w14:paraId="24B039A7" w14:textId="237DACB3" w:rsidR="00D6751F" w:rsidRDefault="00D6751F" w:rsidP="00D6751F">
      <w:pPr>
        <w:rPr>
          <w:color w:val="000000" w:themeColor="text1"/>
        </w:rPr>
      </w:pPr>
      <w:r>
        <w:rPr>
          <w:color w:val="000000" w:themeColor="text1"/>
        </w:rPr>
        <w:t>The expected segregation ratio at the F</w:t>
      </w:r>
      <w:r w:rsidRPr="00482D46">
        <w:rPr>
          <w:color w:val="000000" w:themeColor="text1"/>
          <w:vertAlign w:val="subscript"/>
        </w:rPr>
        <w:t>2</w:t>
      </w:r>
      <w:r>
        <w:rPr>
          <w:color w:val="000000" w:themeColor="text1"/>
        </w:rPr>
        <w:t xml:space="preserve"> generations was 1:2:1 and the critical value to reject the hypothesis of this ratio at the 5% confidence level was 5.99 (Strickberger 1976). As the X</w:t>
      </w:r>
      <w:r w:rsidRPr="004876E8">
        <w:rPr>
          <w:color w:val="000000" w:themeColor="text1"/>
          <w:vertAlign w:val="superscript"/>
        </w:rPr>
        <w:t>2</w:t>
      </w:r>
      <w:r>
        <w:rPr>
          <w:color w:val="000000" w:themeColor="text1"/>
        </w:rPr>
        <w:t xml:space="preserve"> values calculated from these experiments were &lt; 5.99, t</w:t>
      </w:r>
      <w:r w:rsidRPr="00262CF4">
        <w:rPr>
          <w:color w:val="000000" w:themeColor="text1"/>
        </w:rPr>
        <w:t xml:space="preserve">he results </w:t>
      </w:r>
      <w:r>
        <w:rPr>
          <w:color w:val="000000" w:themeColor="text1"/>
        </w:rPr>
        <w:t>showed</w:t>
      </w:r>
      <w:r w:rsidRPr="00262CF4">
        <w:rPr>
          <w:color w:val="000000" w:themeColor="text1"/>
        </w:rPr>
        <w:t xml:space="preserve"> there were no significant differences between the observed and expected segregation ratios in any of the generations</w:t>
      </w:r>
      <w:r>
        <w:rPr>
          <w:color w:val="000000" w:themeColor="text1"/>
        </w:rPr>
        <w:t xml:space="preserve"> (</w:t>
      </w:r>
      <w:hyperlink w:anchor="Table4" w:history="1">
        <w:r w:rsidRPr="002F082A">
          <w:rPr>
            <w:rStyle w:val="Hyperlink"/>
          </w:rPr>
          <w:t xml:space="preserve">Table </w:t>
        </w:r>
        <w:r w:rsidR="00A04498" w:rsidRPr="002F082A">
          <w:rPr>
            <w:rStyle w:val="Hyperlink"/>
          </w:rPr>
          <w:t>4</w:t>
        </w:r>
      </w:hyperlink>
      <w:r>
        <w:rPr>
          <w:color w:val="000000" w:themeColor="text1"/>
        </w:rPr>
        <w:t xml:space="preserve"> and </w:t>
      </w:r>
      <w:hyperlink w:anchor="Table5" w:history="1">
        <w:r w:rsidR="002F082A" w:rsidRPr="002F082A">
          <w:rPr>
            <w:rStyle w:val="Hyperlink"/>
          </w:rPr>
          <w:t xml:space="preserve">Table </w:t>
        </w:r>
        <w:r w:rsidR="00A04498" w:rsidRPr="002F082A">
          <w:rPr>
            <w:rStyle w:val="Hyperlink"/>
          </w:rPr>
          <w:t>5</w:t>
        </w:r>
      </w:hyperlink>
      <w:r>
        <w:rPr>
          <w:color w:val="000000" w:themeColor="text1"/>
        </w:rPr>
        <w:t>)</w:t>
      </w:r>
      <w:r w:rsidRPr="00262CF4">
        <w:rPr>
          <w:color w:val="000000" w:themeColor="text1"/>
        </w:rPr>
        <w:t xml:space="preserve">. These data support the conclusion that </w:t>
      </w:r>
      <w:r>
        <w:rPr>
          <w:color w:val="000000" w:themeColor="text1"/>
        </w:rPr>
        <w:t xml:space="preserve">the </w:t>
      </w:r>
      <w:r w:rsidRPr="00262CF4">
        <w:rPr>
          <w:color w:val="000000" w:themeColor="text1"/>
        </w:rPr>
        <w:t xml:space="preserve">T-DNA is present at a single locus in </w:t>
      </w:r>
      <w:r w:rsidR="00B53A1F">
        <w:rPr>
          <w:color w:val="000000" w:themeColor="text1"/>
        </w:rPr>
        <w:t>GMB151</w:t>
      </w:r>
      <w:r>
        <w:rPr>
          <w:color w:val="000000" w:themeColor="text1"/>
        </w:rPr>
        <w:t xml:space="preserve"> and wa</w:t>
      </w:r>
      <w:r w:rsidRPr="00262CF4">
        <w:rPr>
          <w:color w:val="000000" w:themeColor="text1"/>
        </w:rPr>
        <w:t>s inherited predictably according to Mendelian principles in subsequent generations.</w:t>
      </w:r>
    </w:p>
    <w:p w14:paraId="73D88041" w14:textId="36B9CE3C" w:rsidR="00E840C1" w:rsidRDefault="00E840C1" w:rsidP="00930CCF">
      <w:pPr>
        <w:rPr>
          <w:iCs/>
        </w:rPr>
      </w:pPr>
    </w:p>
    <w:p w14:paraId="61216233" w14:textId="5E168CB7" w:rsidR="00E840C1" w:rsidRDefault="00E840C1" w:rsidP="002F082A">
      <w:pPr>
        <w:pStyle w:val="FSTableTitle"/>
        <w:spacing w:after="120"/>
        <w:ind w:left="284"/>
      </w:pPr>
      <w:bookmarkStart w:id="122" w:name="Table4"/>
      <w:r>
        <w:t xml:space="preserve">Table </w:t>
      </w:r>
      <w:r w:rsidR="00A04498">
        <w:t>4</w:t>
      </w:r>
      <w:bookmarkEnd w:id="122"/>
      <w:r>
        <w:t xml:space="preserve">: </w:t>
      </w:r>
      <w:r w:rsidR="002F082A" w:rsidRPr="002F082A">
        <w:t xml:space="preserve">Segregation results for </w:t>
      </w:r>
      <w:r w:rsidR="002F082A">
        <w:t>GMB151 x CC1</w:t>
      </w:r>
      <w:r w:rsidR="002F082A" w:rsidRPr="002F082A">
        <w:t xml:space="preserve"> in </w:t>
      </w:r>
      <w:r w:rsidR="002F082A">
        <w:t>F</w:t>
      </w:r>
      <w:r w:rsidR="002F082A" w:rsidRPr="002F082A">
        <w:rPr>
          <w:vertAlign w:val="subscript"/>
        </w:rPr>
        <w:t>2</w:t>
      </w:r>
      <w:r w:rsidR="002F082A">
        <w:t xml:space="preserve"> and </w:t>
      </w:r>
      <w:r w:rsidR="002F082A" w:rsidRPr="002F082A">
        <w:t>BC</w:t>
      </w:r>
      <w:r w:rsidR="002F082A" w:rsidRPr="002F082A">
        <w:rPr>
          <w:vertAlign w:val="subscript"/>
        </w:rPr>
        <w:t>2</w:t>
      </w:r>
      <w:r w:rsidR="002F082A" w:rsidRPr="002F082A">
        <w:t>F</w:t>
      </w:r>
      <w:r w:rsidR="002F082A" w:rsidRPr="002F082A">
        <w:rPr>
          <w:vertAlign w:val="subscript"/>
        </w:rPr>
        <w:t>2</w:t>
      </w:r>
    </w:p>
    <w:tbl>
      <w:tblPr>
        <w:tblStyle w:val="TableGrid"/>
        <w:tblW w:w="0" w:type="auto"/>
        <w:tblInd w:w="250" w:type="dxa"/>
        <w:tblLook w:val="04A0" w:firstRow="1" w:lastRow="0" w:firstColumn="1" w:lastColumn="0" w:noHBand="0" w:noVBand="1"/>
        <w:tblCaption w:val="Table 4"/>
        <w:tblDescription w:val="Segregation results for GMB151 x CC1 in F2 and BC2F2"/>
      </w:tblPr>
      <w:tblGrid>
        <w:gridCol w:w="1515"/>
        <w:gridCol w:w="1047"/>
        <w:gridCol w:w="1017"/>
        <w:gridCol w:w="1047"/>
        <w:gridCol w:w="1017"/>
        <w:gridCol w:w="2064"/>
      </w:tblGrid>
      <w:tr w:rsidR="002F082A" w14:paraId="52265FDB" w14:textId="4E0B12DE" w:rsidTr="00482D46">
        <w:tc>
          <w:tcPr>
            <w:tcW w:w="1515" w:type="dxa"/>
            <w:vMerge w:val="restart"/>
            <w:tcBorders>
              <w:top w:val="nil"/>
              <w:left w:val="nil"/>
              <w:right w:val="nil"/>
            </w:tcBorders>
            <w:shd w:val="clear" w:color="auto" w:fill="7F7F7F" w:themeFill="text1" w:themeFillTint="80"/>
          </w:tcPr>
          <w:p w14:paraId="474BB380" w14:textId="77777777" w:rsidR="002F082A" w:rsidRPr="00300670" w:rsidRDefault="002F082A" w:rsidP="000F6385">
            <w:pPr>
              <w:rPr>
                <w:iCs/>
                <w:color w:val="FFFFFF" w:themeColor="background1"/>
                <w:sz w:val="18"/>
                <w:szCs w:val="18"/>
              </w:rPr>
            </w:pPr>
          </w:p>
        </w:tc>
        <w:tc>
          <w:tcPr>
            <w:tcW w:w="2064" w:type="dxa"/>
            <w:gridSpan w:val="2"/>
            <w:tcBorders>
              <w:top w:val="nil"/>
              <w:left w:val="nil"/>
              <w:bottom w:val="nil"/>
              <w:right w:val="nil"/>
            </w:tcBorders>
            <w:shd w:val="clear" w:color="auto" w:fill="7F7F7F" w:themeFill="text1" w:themeFillTint="80"/>
            <w:vAlign w:val="center"/>
          </w:tcPr>
          <w:p w14:paraId="3E32035A" w14:textId="77777777" w:rsidR="002F082A" w:rsidRPr="00300670" w:rsidRDefault="002F082A" w:rsidP="000F6385">
            <w:pPr>
              <w:spacing w:before="20" w:after="20"/>
              <w:jc w:val="center"/>
              <w:rPr>
                <w:b/>
                <w:iCs/>
                <w:color w:val="FFFFFF" w:themeColor="background1"/>
                <w:sz w:val="18"/>
                <w:szCs w:val="18"/>
              </w:rPr>
            </w:pPr>
            <w:r w:rsidRPr="00300670">
              <w:rPr>
                <w:b/>
                <w:iCs/>
                <w:color w:val="FFFFFF" w:themeColor="background1"/>
                <w:sz w:val="18"/>
                <w:szCs w:val="18"/>
              </w:rPr>
              <w:t>F2</w:t>
            </w:r>
          </w:p>
        </w:tc>
        <w:tc>
          <w:tcPr>
            <w:tcW w:w="2064" w:type="dxa"/>
            <w:gridSpan w:val="2"/>
            <w:tcBorders>
              <w:top w:val="nil"/>
              <w:left w:val="nil"/>
              <w:bottom w:val="nil"/>
              <w:right w:val="nil"/>
            </w:tcBorders>
            <w:shd w:val="clear" w:color="auto" w:fill="7F7F7F" w:themeFill="text1" w:themeFillTint="80"/>
            <w:vAlign w:val="center"/>
          </w:tcPr>
          <w:p w14:paraId="595CA4AD" w14:textId="77777777" w:rsidR="002F082A" w:rsidRPr="00300670" w:rsidRDefault="002F082A" w:rsidP="000F6385">
            <w:pPr>
              <w:spacing w:before="20" w:after="20"/>
              <w:jc w:val="center"/>
              <w:rPr>
                <w:b/>
                <w:iCs/>
                <w:color w:val="FFFFFF" w:themeColor="background1"/>
                <w:sz w:val="18"/>
                <w:szCs w:val="18"/>
              </w:rPr>
            </w:pPr>
            <w:r w:rsidRPr="00300670">
              <w:rPr>
                <w:b/>
                <w:iCs/>
                <w:color w:val="FFFFFF" w:themeColor="background1"/>
                <w:sz w:val="18"/>
                <w:szCs w:val="18"/>
              </w:rPr>
              <w:t>BC2F2</w:t>
            </w:r>
          </w:p>
        </w:tc>
        <w:tc>
          <w:tcPr>
            <w:tcW w:w="2064" w:type="dxa"/>
            <w:tcBorders>
              <w:top w:val="nil"/>
              <w:left w:val="nil"/>
              <w:bottom w:val="nil"/>
              <w:right w:val="nil"/>
            </w:tcBorders>
            <w:shd w:val="clear" w:color="auto" w:fill="7F7F7F" w:themeFill="text1" w:themeFillTint="80"/>
          </w:tcPr>
          <w:p w14:paraId="19DFB2E8" w14:textId="77777777" w:rsidR="002F082A" w:rsidRPr="00300670" w:rsidRDefault="002F082A" w:rsidP="000F6385">
            <w:pPr>
              <w:spacing w:before="20" w:after="20"/>
              <w:jc w:val="center"/>
              <w:rPr>
                <w:b/>
                <w:iCs/>
                <w:color w:val="FFFFFF" w:themeColor="background1"/>
                <w:sz w:val="18"/>
                <w:szCs w:val="18"/>
              </w:rPr>
            </w:pPr>
          </w:p>
        </w:tc>
      </w:tr>
      <w:tr w:rsidR="002F082A" w14:paraId="638BF466" w14:textId="18A3BA3B" w:rsidTr="00482D46">
        <w:tc>
          <w:tcPr>
            <w:tcW w:w="1515" w:type="dxa"/>
            <w:vMerge/>
            <w:tcBorders>
              <w:left w:val="nil"/>
              <w:bottom w:val="nil"/>
              <w:right w:val="nil"/>
            </w:tcBorders>
            <w:shd w:val="clear" w:color="auto" w:fill="7F7F7F" w:themeFill="text1" w:themeFillTint="80"/>
          </w:tcPr>
          <w:p w14:paraId="25383AB0" w14:textId="77777777" w:rsidR="002F082A" w:rsidRPr="00300670" w:rsidRDefault="002F082A" w:rsidP="000F6385">
            <w:pPr>
              <w:rPr>
                <w:iCs/>
                <w:color w:val="FFFFFF" w:themeColor="background1"/>
                <w:sz w:val="18"/>
                <w:szCs w:val="18"/>
              </w:rPr>
            </w:pPr>
          </w:p>
        </w:tc>
        <w:tc>
          <w:tcPr>
            <w:tcW w:w="1047" w:type="dxa"/>
            <w:tcBorders>
              <w:top w:val="nil"/>
              <w:left w:val="nil"/>
              <w:bottom w:val="nil"/>
              <w:right w:val="nil"/>
            </w:tcBorders>
            <w:shd w:val="clear" w:color="auto" w:fill="7F7F7F" w:themeFill="text1" w:themeFillTint="80"/>
            <w:vAlign w:val="center"/>
          </w:tcPr>
          <w:p w14:paraId="79303B84" w14:textId="77777777" w:rsidR="002F082A" w:rsidRPr="00300670" w:rsidRDefault="002F082A" w:rsidP="000F6385">
            <w:pPr>
              <w:spacing w:before="20" w:after="20"/>
              <w:jc w:val="center"/>
              <w:rPr>
                <w:b/>
                <w:iCs/>
                <w:color w:val="FFFFFF" w:themeColor="background1"/>
                <w:sz w:val="18"/>
                <w:szCs w:val="18"/>
              </w:rPr>
            </w:pPr>
            <w:r w:rsidRPr="00300670">
              <w:rPr>
                <w:b/>
                <w:iCs/>
                <w:color w:val="FFFFFF" w:themeColor="background1"/>
                <w:sz w:val="18"/>
                <w:szCs w:val="18"/>
              </w:rPr>
              <w:t>Observed</w:t>
            </w:r>
          </w:p>
        </w:tc>
        <w:tc>
          <w:tcPr>
            <w:tcW w:w="1017" w:type="dxa"/>
            <w:tcBorders>
              <w:top w:val="nil"/>
              <w:left w:val="nil"/>
              <w:bottom w:val="nil"/>
              <w:right w:val="nil"/>
            </w:tcBorders>
            <w:shd w:val="clear" w:color="auto" w:fill="7F7F7F" w:themeFill="text1" w:themeFillTint="80"/>
            <w:vAlign w:val="center"/>
          </w:tcPr>
          <w:p w14:paraId="4A681F07" w14:textId="77777777" w:rsidR="002F082A" w:rsidRPr="00300670" w:rsidRDefault="002F082A" w:rsidP="000F6385">
            <w:pPr>
              <w:spacing w:before="20" w:after="20"/>
              <w:jc w:val="center"/>
              <w:rPr>
                <w:b/>
                <w:iCs/>
                <w:color w:val="FFFFFF" w:themeColor="background1"/>
                <w:sz w:val="18"/>
                <w:szCs w:val="18"/>
              </w:rPr>
            </w:pPr>
            <w:r w:rsidRPr="00300670">
              <w:rPr>
                <w:b/>
                <w:iCs/>
                <w:color w:val="FFFFFF" w:themeColor="background1"/>
                <w:sz w:val="18"/>
                <w:szCs w:val="18"/>
              </w:rPr>
              <w:t>Expected</w:t>
            </w:r>
          </w:p>
        </w:tc>
        <w:tc>
          <w:tcPr>
            <w:tcW w:w="1047" w:type="dxa"/>
            <w:tcBorders>
              <w:top w:val="nil"/>
              <w:left w:val="nil"/>
              <w:bottom w:val="nil"/>
              <w:right w:val="nil"/>
            </w:tcBorders>
            <w:shd w:val="clear" w:color="auto" w:fill="7F7F7F" w:themeFill="text1" w:themeFillTint="80"/>
            <w:vAlign w:val="center"/>
          </w:tcPr>
          <w:p w14:paraId="538F17FB" w14:textId="77777777" w:rsidR="002F082A" w:rsidRPr="00300670" w:rsidRDefault="002F082A" w:rsidP="000F6385">
            <w:pPr>
              <w:spacing w:before="20" w:after="20"/>
              <w:jc w:val="center"/>
              <w:rPr>
                <w:b/>
                <w:iCs/>
                <w:color w:val="FFFFFF" w:themeColor="background1"/>
                <w:sz w:val="18"/>
                <w:szCs w:val="18"/>
              </w:rPr>
            </w:pPr>
            <w:r w:rsidRPr="00300670">
              <w:rPr>
                <w:b/>
                <w:iCs/>
                <w:color w:val="FFFFFF" w:themeColor="background1"/>
                <w:sz w:val="18"/>
                <w:szCs w:val="18"/>
              </w:rPr>
              <w:t>Observed</w:t>
            </w:r>
          </w:p>
        </w:tc>
        <w:tc>
          <w:tcPr>
            <w:tcW w:w="1017" w:type="dxa"/>
            <w:tcBorders>
              <w:top w:val="nil"/>
              <w:left w:val="nil"/>
              <w:bottom w:val="nil"/>
              <w:right w:val="nil"/>
            </w:tcBorders>
            <w:shd w:val="clear" w:color="auto" w:fill="7F7F7F" w:themeFill="text1" w:themeFillTint="80"/>
            <w:vAlign w:val="center"/>
          </w:tcPr>
          <w:p w14:paraId="3397D9D1" w14:textId="77777777" w:rsidR="002F082A" w:rsidRPr="00300670" w:rsidRDefault="002F082A" w:rsidP="000F6385">
            <w:pPr>
              <w:spacing w:before="20" w:after="20"/>
              <w:jc w:val="center"/>
              <w:rPr>
                <w:b/>
                <w:iCs/>
                <w:color w:val="FFFFFF" w:themeColor="background1"/>
                <w:sz w:val="18"/>
                <w:szCs w:val="18"/>
              </w:rPr>
            </w:pPr>
            <w:r w:rsidRPr="00300670">
              <w:rPr>
                <w:b/>
                <w:iCs/>
                <w:color w:val="FFFFFF" w:themeColor="background1"/>
                <w:sz w:val="18"/>
                <w:szCs w:val="18"/>
              </w:rPr>
              <w:t>Expected</w:t>
            </w:r>
          </w:p>
        </w:tc>
        <w:tc>
          <w:tcPr>
            <w:tcW w:w="2064" w:type="dxa"/>
            <w:tcBorders>
              <w:top w:val="nil"/>
              <w:left w:val="nil"/>
              <w:bottom w:val="nil"/>
              <w:right w:val="nil"/>
            </w:tcBorders>
            <w:shd w:val="clear" w:color="auto" w:fill="7F7F7F" w:themeFill="text1" w:themeFillTint="80"/>
          </w:tcPr>
          <w:p w14:paraId="5C2C180A" w14:textId="77777777" w:rsidR="002F082A" w:rsidRPr="00300670" w:rsidRDefault="002F082A" w:rsidP="000F6385">
            <w:pPr>
              <w:spacing w:before="20" w:after="20"/>
              <w:jc w:val="center"/>
              <w:rPr>
                <w:b/>
                <w:iCs/>
                <w:color w:val="FFFFFF" w:themeColor="background1"/>
                <w:sz w:val="18"/>
                <w:szCs w:val="18"/>
              </w:rPr>
            </w:pPr>
          </w:p>
        </w:tc>
      </w:tr>
      <w:tr w:rsidR="002F082A" w14:paraId="7600830C" w14:textId="034A76FA" w:rsidTr="00482D46">
        <w:tc>
          <w:tcPr>
            <w:tcW w:w="1515" w:type="dxa"/>
            <w:tcBorders>
              <w:top w:val="nil"/>
              <w:left w:val="nil"/>
              <w:bottom w:val="nil"/>
              <w:right w:val="nil"/>
            </w:tcBorders>
            <w:vAlign w:val="center"/>
          </w:tcPr>
          <w:p w14:paraId="0B2BE638" w14:textId="77777777" w:rsidR="002F082A" w:rsidRPr="00300670" w:rsidRDefault="002F082A" w:rsidP="000F6385">
            <w:pPr>
              <w:spacing w:before="20" w:after="20"/>
              <w:jc w:val="center"/>
              <w:rPr>
                <w:iCs/>
                <w:sz w:val="18"/>
                <w:szCs w:val="18"/>
              </w:rPr>
            </w:pPr>
            <w:r w:rsidRPr="00300670">
              <w:rPr>
                <w:b/>
                <w:sz w:val="18"/>
                <w:szCs w:val="18"/>
              </w:rPr>
              <w:t>homozygous</w:t>
            </w:r>
          </w:p>
        </w:tc>
        <w:tc>
          <w:tcPr>
            <w:tcW w:w="1047" w:type="dxa"/>
            <w:tcBorders>
              <w:top w:val="nil"/>
              <w:left w:val="nil"/>
              <w:bottom w:val="nil"/>
              <w:right w:val="nil"/>
            </w:tcBorders>
            <w:vAlign w:val="center"/>
          </w:tcPr>
          <w:p w14:paraId="2E2B9ACE" w14:textId="360598B3" w:rsidR="002F082A" w:rsidRPr="00300670" w:rsidRDefault="002F082A" w:rsidP="000F6385">
            <w:pPr>
              <w:spacing w:before="20" w:after="20"/>
              <w:jc w:val="center"/>
              <w:rPr>
                <w:iCs/>
                <w:sz w:val="18"/>
                <w:szCs w:val="18"/>
              </w:rPr>
            </w:pPr>
            <w:r w:rsidRPr="00300670">
              <w:rPr>
                <w:iCs/>
                <w:sz w:val="18"/>
                <w:szCs w:val="18"/>
              </w:rPr>
              <w:t>56</w:t>
            </w:r>
          </w:p>
        </w:tc>
        <w:tc>
          <w:tcPr>
            <w:tcW w:w="1017" w:type="dxa"/>
            <w:tcBorders>
              <w:top w:val="nil"/>
              <w:left w:val="nil"/>
              <w:bottom w:val="nil"/>
              <w:right w:val="nil"/>
            </w:tcBorders>
            <w:vAlign w:val="center"/>
          </w:tcPr>
          <w:p w14:paraId="59DEADF8" w14:textId="00E129E7" w:rsidR="002F082A" w:rsidRPr="00300670" w:rsidRDefault="002F082A" w:rsidP="000F6385">
            <w:pPr>
              <w:spacing w:before="20" w:after="20"/>
              <w:jc w:val="center"/>
              <w:rPr>
                <w:iCs/>
                <w:sz w:val="18"/>
                <w:szCs w:val="18"/>
              </w:rPr>
            </w:pPr>
            <w:r w:rsidRPr="00300670">
              <w:rPr>
                <w:iCs/>
                <w:sz w:val="18"/>
                <w:szCs w:val="18"/>
              </w:rPr>
              <w:t>61.5</w:t>
            </w:r>
          </w:p>
        </w:tc>
        <w:tc>
          <w:tcPr>
            <w:tcW w:w="1047" w:type="dxa"/>
            <w:tcBorders>
              <w:top w:val="nil"/>
              <w:left w:val="nil"/>
              <w:bottom w:val="nil"/>
              <w:right w:val="nil"/>
            </w:tcBorders>
            <w:vAlign w:val="center"/>
          </w:tcPr>
          <w:p w14:paraId="669281E6" w14:textId="386F4100" w:rsidR="002F082A" w:rsidRPr="00300670" w:rsidRDefault="002F082A" w:rsidP="000F6385">
            <w:pPr>
              <w:spacing w:before="20" w:after="20"/>
              <w:jc w:val="center"/>
              <w:rPr>
                <w:iCs/>
                <w:sz w:val="18"/>
                <w:szCs w:val="18"/>
              </w:rPr>
            </w:pPr>
            <w:r w:rsidRPr="00300670">
              <w:rPr>
                <w:iCs/>
                <w:sz w:val="18"/>
                <w:szCs w:val="18"/>
              </w:rPr>
              <w:t>57</w:t>
            </w:r>
          </w:p>
        </w:tc>
        <w:tc>
          <w:tcPr>
            <w:tcW w:w="1017" w:type="dxa"/>
            <w:tcBorders>
              <w:top w:val="nil"/>
              <w:left w:val="nil"/>
              <w:bottom w:val="nil"/>
              <w:right w:val="nil"/>
            </w:tcBorders>
            <w:vAlign w:val="center"/>
          </w:tcPr>
          <w:p w14:paraId="1D8E452D" w14:textId="6B8F1E90" w:rsidR="002F082A" w:rsidRPr="00300670" w:rsidRDefault="002F082A" w:rsidP="000F6385">
            <w:pPr>
              <w:spacing w:before="20" w:after="20"/>
              <w:jc w:val="center"/>
              <w:rPr>
                <w:iCs/>
                <w:sz w:val="18"/>
                <w:szCs w:val="18"/>
              </w:rPr>
            </w:pPr>
            <w:r w:rsidRPr="00300670">
              <w:rPr>
                <w:iCs/>
                <w:sz w:val="18"/>
                <w:szCs w:val="18"/>
              </w:rPr>
              <w:t>61.5</w:t>
            </w:r>
          </w:p>
        </w:tc>
        <w:tc>
          <w:tcPr>
            <w:tcW w:w="2064" w:type="dxa"/>
            <w:tcBorders>
              <w:top w:val="nil"/>
              <w:left w:val="nil"/>
              <w:bottom w:val="nil"/>
              <w:right w:val="nil"/>
            </w:tcBorders>
          </w:tcPr>
          <w:p w14:paraId="5AC2F8EF" w14:textId="77777777" w:rsidR="002F082A" w:rsidRPr="00300670" w:rsidRDefault="002F082A" w:rsidP="000F6385">
            <w:pPr>
              <w:spacing w:before="20" w:after="20"/>
              <w:jc w:val="center"/>
              <w:rPr>
                <w:iCs/>
                <w:sz w:val="18"/>
                <w:szCs w:val="18"/>
              </w:rPr>
            </w:pPr>
          </w:p>
        </w:tc>
      </w:tr>
      <w:tr w:rsidR="002F082A" w14:paraId="5F4584AB" w14:textId="407203D1" w:rsidTr="00482D46">
        <w:tc>
          <w:tcPr>
            <w:tcW w:w="1515" w:type="dxa"/>
            <w:tcBorders>
              <w:top w:val="nil"/>
              <w:left w:val="nil"/>
              <w:bottom w:val="nil"/>
              <w:right w:val="nil"/>
            </w:tcBorders>
            <w:shd w:val="clear" w:color="auto" w:fill="D9D9D9" w:themeFill="background1" w:themeFillShade="D9"/>
            <w:vAlign w:val="center"/>
          </w:tcPr>
          <w:p w14:paraId="0CB049F1" w14:textId="77777777" w:rsidR="002F082A" w:rsidRPr="00300670" w:rsidRDefault="002F082A" w:rsidP="000F6385">
            <w:pPr>
              <w:spacing w:before="20" w:after="20"/>
              <w:jc w:val="center"/>
              <w:rPr>
                <w:iCs/>
                <w:sz w:val="18"/>
                <w:szCs w:val="18"/>
              </w:rPr>
            </w:pPr>
            <w:r w:rsidRPr="00300670">
              <w:rPr>
                <w:b/>
                <w:sz w:val="18"/>
                <w:szCs w:val="18"/>
              </w:rPr>
              <w:t>hemizygous</w:t>
            </w:r>
          </w:p>
        </w:tc>
        <w:tc>
          <w:tcPr>
            <w:tcW w:w="1047" w:type="dxa"/>
            <w:tcBorders>
              <w:top w:val="nil"/>
              <w:left w:val="nil"/>
              <w:bottom w:val="nil"/>
              <w:right w:val="nil"/>
            </w:tcBorders>
            <w:shd w:val="clear" w:color="auto" w:fill="D9D9D9" w:themeFill="background1" w:themeFillShade="D9"/>
            <w:vAlign w:val="center"/>
          </w:tcPr>
          <w:p w14:paraId="62114949" w14:textId="2F2AD6BF" w:rsidR="002F082A" w:rsidRPr="00300670" w:rsidRDefault="002F082A" w:rsidP="000F6385">
            <w:pPr>
              <w:spacing w:before="20" w:after="20"/>
              <w:jc w:val="center"/>
              <w:rPr>
                <w:iCs/>
                <w:sz w:val="18"/>
                <w:szCs w:val="18"/>
              </w:rPr>
            </w:pPr>
            <w:r w:rsidRPr="00300670">
              <w:rPr>
                <w:iCs/>
                <w:sz w:val="18"/>
                <w:szCs w:val="18"/>
              </w:rPr>
              <w:t>133</w:t>
            </w:r>
          </w:p>
        </w:tc>
        <w:tc>
          <w:tcPr>
            <w:tcW w:w="1017" w:type="dxa"/>
            <w:tcBorders>
              <w:top w:val="nil"/>
              <w:left w:val="nil"/>
              <w:bottom w:val="nil"/>
              <w:right w:val="nil"/>
            </w:tcBorders>
            <w:shd w:val="clear" w:color="auto" w:fill="D9D9D9" w:themeFill="background1" w:themeFillShade="D9"/>
            <w:vAlign w:val="center"/>
          </w:tcPr>
          <w:p w14:paraId="4C357233" w14:textId="6BF26F58" w:rsidR="002F082A" w:rsidRPr="00300670" w:rsidRDefault="002F082A" w:rsidP="000F6385">
            <w:pPr>
              <w:spacing w:before="20" w:after="20"/>
              <w:jc w:val="center"/>
              <w:rPr>
                <w:iCs/>
                <w:sz w:val="18"/>
                <w:szCs w:val="18"/>
              </w:rPr>
            </w:pPr>
            <w:r w:rsidRPr="00300670">
              <w:rPr>
                <w:iCs/>
                <w:sz w:val="18"/>
                <w:szCs w:val="18"/>
              </w:rPr>
              <w:t>123</w:t>
            </w:r>
          </w:p>
        </w:tc>
        <w:tc>
          <w:tcPr>
            <w:tcW w:w="1047" w:type="dxa"/>
            <w:tcBorders>
              <w:top w:val="nil"/>
              <w:left w:val="nil"/>
              <w:bottom w:val="nil"/>
              <w:right w:val="nil"/>
            </w:tcBorders>
            <w:shd w:val="clear" w:color="auto" w:fill="D9D9D9" w:themeFill="background1" w:themeFillShade="D9"/>
            <w:vAlign w:val="center"/>
          </w:tcPr>
          <w:p w14:paraId="2FA956AF" w14:textId="3E10F3D9" w:rsidR="002F082A" w:rsidRPr="00300670" w:rsidRDefault="002F082A" w:rsidP="000F6385">
            <w:pPr>
              <w:spacing w:before="20" w:after="20"/>
              <w:jc w:val="center"/>
              <w:rPr>
                <w:iCs/>
                <w:sz w:val="18"/>
                <w:szCs w:val="18"/>
              </w:rPr>
            </w:pPr>
            <w:r w:rsidRPr="00300670">
              <w:rPr>
                <w:iCs/>
                <w:sz w:val="18"/>
                <w:szCs w:val="18"/>
              </w:rPr>
              <w:t>120</w:t>
            </w:r>
          </w:p>
        </w:tc>
        <w:tc>
          <w:tcPr>
            <w:tcW w:w="1017" w:type="dxa"/>
            <w:tcBorders>
              <w:top w:val="nil"/>
              <w:left w:val="nil"/>
              <w:bottom w:val="nil"/>
              <w:right w:val="nil"/>
            </w:tcBorders>
            <w:shd w:val="clear" w:color="auto" w:fill="D9D9D9" w:themeFill="background1" w:themeFillShade="D9"/>
            <w:vAlign w:val="center"/>
          </w:tcPr>
          <w:p w14:paraId="0E6F4F65" w14:textId="77A07DA5" w:rsidR="002F082A" w:rsidRPr="00300670" w:rsidRDefault="002F082A" w:rsidP="000F6385">
            <w:pPr>
              <w:spacing w:before="20" w:after="20"/>
              <w:jc w:val="center"/>
              <w:rPr>
                <w:iCs/>
                <w:sz w:val="18"/>
                <w:szCs w:val="18"/>
              </w:rPr>
            </w:pPr>
            <w:r w:rsidRPr="00300670">
              <w:rPr>
                <w:iCs/>
                <w:sz w:val="18"/>
                <w:szCs w:val="18"/>
              </w:rPr>
              <w:t>123</w:t>
            </w:r>
          </w:p>
        </w:tc>
        <w:tc>
          <w:tcPr>
            <w:tcW w:w="2064" w:type="dxa"/>
            <w:tcBorders>
              <w:top w:val="nil"/>
              <w:left w:val="nil"/>
              <w:bottom w:val="nil"/>
              <w:right w:val="nil"/>
            </w:tcBorders>
            <w:shd w:val="clear" w:color="auto" w:fill="D9D9D9" w:themeFill="background1" w:themeFillShade="D9"/>
          </w:tcPr>
          <w:p w14:paraId="71092EAE" w14:textId="77777777" w:rsidR="002F082A" w:rsidRPr="00300670" w:rsidRDefault="002F082A" w:rsidP="000F6385">
            <w:pPr>
              <w:spacing w:before="20" w:after="20"/>
              <w:jc w:val="center"/>
              <w:rPr>
                <w:iCs/>
                <w:sz w:val="18"/>
                <w:szCs w:val="18"/>
              </w:rPr>
            </w:pPr>
          </w:p>
        </w:tc>
      </w:tr>
      <w:tr w:rsidR="002F082A" w14:paraId="33AF7499" w14:textId="0B3272D5" w:rsidTr="00482D46">
        <w:tc>
          <w:tcPr>
            <w:tcW w:w="1515" w:type="dxa"/>
            <w:tcBorders>
              <w:top w:val="nil"/>
              <w:left w:val="nil"/>
              <w:bottom w:val="nil"/>
              <w:right w:val="nil"/>
            </w:tcBorders>
            <w:vAlign w:val="center"/>
          </w:tcPr>
          <w:p w14:paraId="08FF900E" w14:textId="77777777" w:rsidR="002F082A" w:rsidRPr="00300670" w:rsidRDefault="002F082A" w:rsidP="000F6385">
            <w:pPr>
              <w:spacing w:before="20" w:after="20"/>
              <w:jc w:val="center"/>
              <w:rPr>
                <w:iCs/>
                <w:sz w:val="18"/>
                <w:szCs w:val="18"/>
              </w:rPr>
            </w:pPr>
            <w:r w:rsidRPr="00300670">
              <w:rPr>
                <w:b/>
                <w:sz w:val="18"/>
                <w:szCs w:val="18"/>
              </w:rPr>
              <w:t>null</w:t>
            </w:r>
          </w:p>
        </w:tc>
        <w:tc>
          <w:tcPr>
            <w:tcW w:w="1047" w:type="dxa"/>
            <w:tcBorders>
              <w:top w:val="nil"/>
              <w:left w:val="nil"/>
              <w:bottom w:val="nil"/>
              <w:right w:val="nil"/>
            </w:tcBorders>
            <w:vAlign w:val="center"/>
          </w:tcPr>
          <w:p w14:paraId="4F462D32" w14:textId="5DD6FD71" w:rsidR="002F082A" w:rsidRPr="00300670" w:rsidRDefault="002F082A" w:rsidP="000F6385">
            <w:pPr>
              <w:spacing w:before="20" w:after="20"/>
              <w:jc w:val="center"/>
              <w:rPr>
                <w:iCs/>
                <w:sz w:val="18"/>
                <w:szCs w:val="18"/>
              </w:rPr>
            </w:pPr>
            <w:r w:rsidRPr="00300670">
              <w:rPr>
                <w:iCs/>
                <w:sz w:val="18"/>
                <w:szCs w:val="18"/>
              </w:rPr>
              <w:t>57</w:t>
            </w:r>
          </w:p>
        </w:tc>
        <w:tc>
          <w:tcPr>
            <w:tcW w:w="1017" w:type="dxa"/>
            <w:tcBorders>
              <w:top w:val="nil"/>
              <w:left w:val="nil"/>
              <w:bottom w:val="nil"/>
              <w:right w:val="nil"/>
            </w:tcBorders>
            <w:vAlign w:val="center"/>
          </w:tcPr>
          <w:p w14:paraId="5240B546" w14:textId="79B75F15" w:rsidR="002F082A" w:rsidRPr="00300670" w:rsidRDefault="002F082A" w:rsidP="000F6385">
            <w:pPr>
              <w:spacing w:before="20" w:after="20"/>
              <w:jc w:val="center"/>
              <w:rPr>
                <w:iCs/>
                <w:sz w:val="18"/>
                <w:szCs w:val="18"/>
              </w:rPr>
            </w:pPr>
            <w:r w:rsidRPr="00300670">
              <w:rPr>
                <w:iCs/>
                <w:sz w:val="18"/>
                <w:szCs w:val="18"/>
              </w:rPr>
              <w:t>61.5</w:t>
            </w:r>
          </w:p>
        </w:tc>
        <w:tc>
          <w:tcPr>
            <w:tcW w:w="1047" w:type="dxa"/>
            <w:tcBorders>
              <w:top w:val="nil"/>
              <w:left w:val="nil"/>
              <w:bottom w:val="nil"/>
              <w:right w:val="nil"/>
            </w:tcBorders>
            <w:vAlign w:val="center"/>
          </w:tcPr>
          <w:p w14:paraId="278A542E" w14:textId="1EEAC8B9" w:rsidR="002F082A" w:rsidRPr="00300670" w:rsidRDefault="002F082A" w:rsidP="000F6385">
            <w:pPr>
              <w:spacing w:before="20" w:after="20"/>
              <w:jc w:val="center"/>
              <w:rPr>
                <w:iCs/>
                <w:sz w:val="18"/>
                <w:szCs w:val="18"/>
              </w:rPr>
            </w:pPr>
            <w:r w:rsidRPr="00300670">
              <w:rPr>
                <w:iCs/>
                <w:sz w:val="18"/>
                <w:szCs w:val="18"/>
              </w:rPr>
              <w:t>69</w:t>
            </w:r>
          </w:p>
        </w:tc>
        <w:tc>
          <w:tcPr>
            <w:tcW w:w="1017" w:type="dxa"/>
            <w:tcBorders>
              <w:top w:val="nil"/>
              <w:left w:val="nil"/>
              <w:bottom w:val="nil"/>
              <w:right w:val="nil"/>
            </w:tcBorders>
            <w:vAlign w:val="center"/>
          </w:tcPr>
          <w:p w14:paraId="00CC2B8D" w14:textId="500FB88B" w:rsidR="002F082A" w:rsidRPr="00300670" w:rsidRDefault="002F082A" w:rsidP="000F6385">
            <w:pPr>
              <w:spacing w:before="20" w:after="20"/>
              <w:jc w:val="center"/>
              <w:rPr>
                <w:iCs/>
                <w:sz w:val="18"/>
                <w:szCs w:val="18"/>
              </w:rPr>
            </w:pPr>
            <w:r w:rsidRPr="00300670">
              <w:rPr>
                <w:iCs/>
                <w:sz w:val="18"/>
                <w:szCs w:val="18"/>
              </w:rPr>
              <w:t>61.5</w:t>
            </w:r>
          </w:p>
        </w:tc>
        <w:tc>
          <w:tcPr>
            <w:tcW w:w="2064" w:type="dxa"/>
            <w:tcBorders>
              <w:top w:val="nil"/>
              <w:left w:val="nil"/>
              <w:bottom w:val="nil"/>
              <w:right w:val="nil"/>
            </w:tcBorders>
          </w:tcPr>
          <w:p w14:paraId="296C099B" w14:textId="77777777" w:rsidR="002F082A" w:rsidRPr="00300670" w:rsidRDefault="002F082A" w:rsidP="000F6385">
            <w:pPr>
              <w:spacing w:before="20" w:after="20"/>
              <w:jc w:val="center"/>
              <w:rPr>
                <w:iCs/>
                <w:sz w:val="18"/>
                <w:szCs w:val="18"/>
              </w:rPr>
            </w:pPr>
          </w:p>
        </w:tc>
      </w:tr>
      <w:tr w:rsidR="002F082A" w14:paraId="24EFBA8D" w14:textId="3DB0A1E8" w:rsidTr="00482D46">
        <w:tc>
          <w:tcPr>
            <w:tcW w:w="1515" w:type="dxa"/>
            <w:tcBorders>
              <w:top w:val="nil"/>
              <w:left w:val="nil"/>
              <w:bottom w:val="nil"/>
              <w:right w:val="nil"/>
            </w:tcBorders>
            <w:shd w:val="clear" w:color="auto" w:fill="D9D9D9" w:themeFill="background1" w:themeFillShade="D9"/>
            <w:vAlign w:val="center"/>
          </w:tcPr>
          <w:p w14:paraId="2D8CC423" w14:textId="54F9A459" w:rsidR="002F082A" w:rsidRPr="00300670" w:rsidRDefault="002F082A" w:rsidP="000F6385">
            <w:pPr>
              <w:spacing w:before="20" w:after="20"/>
              <w:jc w:val="center"/>
              <w:rPr>
                <w:b/>
                <w:sz w:val="18"/>
                <w:szCs w:val="18"/>
              </w:rPr>
            </w:pPr>
            <w:r w:rsidRPr="00300670">
              <w:rPr>
                <w:b/>
                <w:sz w:val="18"/>
                <w:szCs w:val="18"/>
              </w:rPr>
              <w:t>Total plants</w:t>
            </w:r>
          </w:p>
        </w:tc>
        <w:tc>
          <w:tcPr>
            <w:tcW w:w="2064" w:type="dxa"/>
            <w:gridSpan w:val="2"/>
            <w:tcBorders>
              <w:top w:val="nil"/>
              <w:left w:val="nil"/>
              <w:bottom w:val="nil"/>
              <w:right w:val="nil"/>
            </w:tcBorders>
            <w:shd w:val="clear" w:color="auto" w:fill="D9D9D9" w:themeFill="background1" w:themeFillShade="D9"/>
            <w:vAlign w:val="center"/>
          </w:tcPr>
          <w:p w14:paraId="08E6DEA5" w14:textId="7D163268" w:rsidR="002F082A" w:rsidRPr="00300670" w:rsidRDefault="002F082A" w:rsidP="000F6385">
            <w:pPr>
              <w:spacing w:before="20" w:after="20"/>
              <w:jc w:val="center"/>
              <w:rPr>
                <w:iCs/>
                <w:sz w:val="18"/>
                <w:szCs w:val="18"/>
              </w:rPr>
            </w:pPr>
            <w:r w:rsidRPr="00300670">
              <w:rPr>
                <w:iCs/>
                <w:sz w:val="18"/>
                <w:szCs w:val="18"/>
              </w:rPr>
              <w:t>246</w:t>
            </w:r>
          </w:p>
        </w:tc>
        <w:tc>
          <w:tcPr>
            <w:tcW w:w="2064" w:type="dxa"/>
            <w:gridSpan w:val="2"/>
            <w:tcBorders>
              <w:top w:val="nil"/>
              <w:left w:val="nil"/>
              <w:bottom w:val="nil"/>
              <w:right w:val="nil"/>
            </w:tcBorders>
            <w:shd w:val="clear" w:color="auto" w:fill="D9D9D9" w:themeFill="background1" w:themeFillShade="D9"/>
            <w:vAlign w:val="center"/>
          </w:tcPr>
          <w:p w14:paraId="1924697E" w14:textId="6534259C" w:rsidR="002F082A" w:rsidRPr="00300670" w:rsidRDefault="002F082A" w:rsidP="000F6385">
            <w:pPr>
              <w:spacing w:before="20" w:after="20"/>
              <w:jc w:val="center"/>
              <w:rPr>
                <w:iCs/>
                <w:sz w:val="18"/>
                <w:szCs w:val="18"/>
              </w:rPr>
            </w:pPr>
            <w:r w:rsidRPr="00300670">
              <w:rPr>
                <w:iCs/>
                <w:sz w:val="18"/>
                <w:szCs w:val="18"/>
              </w:rPr>
              <w:t>246</w:t>
            </w:r>
          </w:p>
        </w:tc>
        <w:tc>
          <w:tcPr>
            <w:tcW w:w="2064" w:type="dxa"/>
            <w:tcBorders>
              <w:top w:val="nil"/>
              <w:left w:val="nil"/>
              <w:bottom w:val="nil"/>
              <w:right w:val="nil"/>
            </w:tcBorders>
            <w:shd w:val="clear" w:color="auto" w:fill="D9D9D9" w:themeFill="background1" w:themeFillShade="D9"/>
          </w:tcPr>
          <w:p w14:paraId="3C40102E" w14:textId="77777777" w:rsidR="002F082A" w:rsidRPr="00300670" w:rsidRDefault="002F082A" w:rsidP="000F6385">
            <w:pPr>
              <w:spacing w:before="20" w:after="20"/>
              <w:jc w:val="center"/>
              <w:rPr>
                <w:iCs/>
                <w:sz w:val="18"/>
                <w:szCs w:val="18"/>
              </w:rPr>
            </w:pPr>
          </w:p>
        </w:tc>
      </w:tr>
      <w:tr w:rsidR="002F082A" w14:paraId="6AE53E6D" w14:textId="05A53D9B" w:rsidTr="00482D46">
        <w:tc>
          <w:tcPr>
            <w:tcW w:w="1515" w:type="dxa"/>
            <w:tcBorders>
              <w:top w:val="nil"/>
              <w:left w:val="nil"/>
              <w:bottom w:val="nil"/>
              <w:right w:val="nil"/>
            </w:tcBorders>
            <w:shd w:val="clear" w:color="auto" w:fill="FFFFFF" w:themeFill="background1"/>
            <w:vAlign w:val="center"/>
          </w:tcPr>
          <w:p w14:paraId="6D18EA25" w14:textId="77777777" w:rsidR="002F082A" w:rsidRPr="00300670" w:rsidRDefault="002F082A" w:rsidP="000F6385">
            <w:pPr>
              <w:spacing w:before="20" w:after="20"/>
              <w:jc w:val="center"/>
              <w:rPr>
                <w:iCs/>
                <w:sz w:val="18"/>
                <w:szCs w:val="18"/>
              </w:rPr>
            </w:pPr>
            <w:r w:rsidRPr="00300670">
              <w:rPr>
                <w:b/>
                <w:sz w:val="18"/>
                <w:szCs w:val="18"/>
              </w:rPr>
              <w:t>X</w:t>
            </w:r>
            <w:r w:rsidRPr="00300670">
              <w:rPr>
                <w:b/>
                <w:sz w:val="18"/>
                <w:szCs w:val="18"/>
                <w:vertAlign w:val="superscript"/>
              </w:rPr>
              <w:t>2</w:t>
            </w:r>
          </w:p>
        </w:tc>
        <w:tc>
          <w:tcPr>
            <w:tcW w:w="2064" w:type="dxa"/>
            <w:gridSpan w:val="2"/>
            <w:tcBorders>
              <w:top w:val="nil"/>
              <w:left w:val="nil"/>
              <w:bottom w:val="nil"/>
              <w:right w:val="nil"/>
            </w:tcBorders>
            <w:shd w:val="clear" w:color="auto" w:fill="FFFFFF" w:themeFill="background1"/>
            <w:vAlign w:val="center"/>
          </w:tcPr>
          <w:p w14:paraId="6FDB8D9B" w14:textId="6EE85CFE" w:rsidR="002F082A" w:rsidRPr="00300670" w:rsidRDefault="002F082A" w:rsidP="000F6385">
            <w:pPr>
              <w:spacing w:before="20" w:after="20"/>
              <w:jc w:val="center"/>
              <w:rPr>
                <w:iCs/>
                <w:sz w:val="18"/>
                <w:szCs w:val="18"/>
              </w:rPr>
            </w:pPr>
            <w:r w:rsidRPr="00300670">
              <w:rPr>
                <w:iCs/>
                <w:sz w:val="18"/>
                <w:szCs w:val="18"/>
              </w:rPr>
              <w:t>1.634</w:t>
            </w:r>
          </w:p>
        </w:tc>
        <w:tc>
          <w:tcPr>
            <w:tcW w:w="2064" w:type="dxa"/>
            <w:gridSpan w:val="2"/>
            <w:tcBorders>
              <w:top w:val="nil"/>
              <w:left w:val="nil"/>
              <w:bottom w:val="nil"/>
              <w:right w:val="nil"/>
            </w:tcBorders>
            <w:shd w:val="clear" w:color="auto" w:fill="FFFFFF" w:themeFill="background1"/>
            <w:vAlign w:val="center"/>
          </w:tcPr>
          <w:p w14:paraId="70C5AF5C" w14:textId="0B5123F7" w:rsidR="002F082A" w:rsidRPr="00300670" w:rsidRDefault="002F082A" w:rsidP="000F6385">
            <w:pPr>
              <w:spacing w:before="20" w:after="20"/>
              <w:jc w:val="center"/>
              <w:rPr>
                <w:iCs/>
                <w:sz w:val="18"/>
                <w:szCs w:val="18"/>
              </w:rPr>
            </w:pPr>
            <w:r w:rsidRPr="00300670">
              <w:rPr>
                <w:iCs/>
                <w:sz w:val="18"/>
                <w:szCs w:val="18"/>
              </w:rPr>
              <w:t>1.317</w:t>
            </w:r>
          </w:p>
        </w:tc>
        <w:tc>
          <w:tcPr>
            <w:tcW w:w="2064" w:type="dxa"/>
            <w:tcBorders>
              <w:top w:val="nil"/>
              <w:left w:val="nil"/>
              <w:bottom w:val="nil"/>
              <w:right w:val="nil"/>
            </w:tcBorders>
            <w:shd w:val="clear" w:color="auto" w:fill="FFFFFF" w:themeFill="background1"/>
          </w:tcPr>
          <w:p w14:paraId="2F3923AC" w14:textId="77777777" w:rsidR="002F082A" w:rsidRPr="00300670" w:rsidRDefault="002F082A" w:rsidP="000F6385">
            <w:pPr>
              <w:spacing w:before="20" w:after="20"/>
              <w:jc w:val="center"/>
              <w:rPr>
                <w:iCs/>
                <w:sz w:val="18"/>
                <w:szCs w:val="18"/>
              </w:rPr>
            </w:pPr>
          </w:p>
        </w:tc>
      </w:tr>
    </w:tbl>
    <w:p w14:paraId="37822DEC" w14:textId="20BE306D" w:rsidR="00E840C1" w:rsidRDefault="00E840C1" w:rsidP="00E840C1"/>
    <w:p w14:paraId="2CFBD917" w14:textId="25345DB8" w:rsidR="00E840C1" w:rsidRDefault="00E840C1" w:rsidP="00E840C1"/>
    <w:p w14:paraId="710DF22D" w14:textId="6466DD42" w:rsidR="002F082A" w:rsidRDefault="00E840C1" w:rsidP="002F082A">
      <w:pPr>
        <w:pStyle w:val="FSTableTitle"/>
        <w:spacing w:after="120"/>
        <w:ind w:left="284"/>
      </w:pPr>
      <w:bookmarkStart w:id="123" w:name="Table5"/>
      <w:r>
        <w:t xml:space="preserve">Table </w:t>
      </w:r>
      <w:r w:rsidR="00A04498">
        <w:t>5</w:t>
      </w:r>
      <w:bookmarkEnd w:id="123"/>
      <w:r>
        <w:t xml:space="preserve">: </w:t>
      </w:r>
      <w:r w:rsidR="002F082A" w:rsidRPr="002F082A">
        <w:t xml:space="preserve">Segregation results for </w:t>
      </w:r>
      <w:r w:rsidR="002F082A">
        <w:t>GMB151 x CC2</w:t>
      </w:r>
      <w:r w:rsidR="002F082A" w:rsidRPr="002F082A">
        <w:t xml:space="preserve"> in </w:t>
      </w:r>
      <w:r w:rsidR="002F082A">
        <w:t>F</w:t>
      </w:r>
      <w:r w:rsidR="002F082A" w:rsidRPr="002F082A">
        <w:rPr>
          <w:vertAlign w:val="subscript"/>
        </w:rPr>
        <w:t>2</w:t>
      </w:r>
      <w:r w:rsidR="002F082A">
        <w:t xml:space="preserve">, </w:t>
      </w:r>
      <w:r w:rsidR="002F082A" w:rsidRPr="002F082A">
        <w:t>BC</w:t>
      </w:r>
      <w:r w:rsidR="002F082A">
        <w:rPr>
          <w:vertAlign w:val="subscript"/>
        </w:rPr>
        <w:t>1</w:t>
      </w:r>
      <w:r w:rsidR="002F082A" w:rsidRPr="002F082A">
        <w:t>F</w:t>
      </w:r>
      <w:r w:rsidR="002F082A" w:rsidRPr="002F082A">
        <w:rPr>
          <w:vertAlign w:val="subscript"/>
        </w:rPr>
        <w:t>2</w:t>
      </w:r>
      <w:r w:rsidR="002F082A" w:rsidRPr="002F082A">
        <w:t xml:space="preserve"> </w:t>
      </w:r>
      <w:r w:rsidR="002F082A">
        <w:t xml:space="preserve">and </w:t>
      </w:r>
      <w:r w:rsidR="002F082A" w:rsidRPr="002F082A">
        <w:t>BC</w:t>
      </w:r>
      <w:r w:rsidR="002F082A" w:rsidRPr="002F082A">
        <w:rPr>
          <w:vertAlign w:val="subscript"/>
        </w:rPr>
        <w:t>2</w:t>
      </w:r>
      <w:r w:rsidR="002F082A" w:rsidRPr="002F082A">
        <w:t>F</w:t>
      </w:r>
      <w:r w:rsidR="002F082A" w:rsidRPr="002F082A">
        <w:rPr>
          <w:vertAlign w:val="subscript"/>
        </w:rPr>
        <w:t>2</w:t>
      </w:r>
    </w:p>
    <w:tbl>
      <w:tblPr>
        <w:tblStyle w:val="TableGrid"/>
        <w:tblW w:w="0" w:type="auto"/>
        <w:tblInd w:w="250" w:type="dxa"/>
        <w:tblLook w:val="04A0" w:firstRow="1" w:lastRow="0" w:firstColumn="1" w:lastColumn="0" w:noHBand="0" w:noVBand="1"/>
        <w:tblCaption w:val="Table 5"/>
        <w:tblDescription w:val="Segregation results for GMB151 x CC2 in F2, BC1F2 and BC2F2"/>
      </w:tblPr>
      <w:tblGrid>
        <w:gridCol w:w="1515"/>
        <w:gridCol w:w="1047"/>
        <w:gridCol w:w="1017"/>
        <w:gridCol w:w="1047"/>
        <w:gridCol w:w="1017"/>
        <w:gridCol w:w="1047"/>
        <w:gridCol w:w="1017"/>
      </w:tblGrid>
      <w:tr w:rsidR="00E840C1" w14:paraId="3296C99B" w14:textId="77777777" w:rsidTr="006F04C6">
        <w:tc>
          <w:tcPr>
            <w:tcW w:w="1515" w:type="dxa"/>
            <w:vMerge w:val="restart"/>
            <w:tcBorders>
              <w:top w:val="nil"/>
              <w:left w:val="nil"/>
              <w:right w:val="nil"/>
            </w:tcBorders>
            <w:shd w:val="clear" w:color="auto" w:fill="7F7F7F" w:themeFill="text1" w:themeFillTint="80"/>
          </w:tcPr>
          <w:p w14:paraId="58C12DB8" w14:textId="77777777" w:rsidR="00E840C1" w:rsidRPr="00300670" w:rsidRDefault="00E840C1" w:rsidP="000F6385">
            <w:pPr>
              <w:rPr>
                <w:iCs/>
                <w:color w:val="FFFFFF" w:themeColor="background1"/>
                <w:sz w:val="18"/>
                <w:szCs w:val="18"/>
              </w:rPr>
            </w:pPr>
          </w:p>
        </w:tc>
        <w:tc>
          <w:tcPr>
            <w:tcW w:w="2064" w:type="dxa"/>
            <w:gridSpan w:val="2"/>
            <w:tcBorders>
              <w:top w:val="nil"/>
              <w:left w:val="nil"/>
              <w:bottom w:val="nil"/>
              <w:right w:val="nil"/>
            </w:tcBorders>
            <w:shd w:val="clear" w:color="auto" w:fill="7F7F7F" w:themeFill="text1" w:themeFillTint="80"/>
            <w:vAlign w:val="center"/>
          </w:tcPr>
          <w:p w14:paraId="0603DAF7" w14:textId="77777777" w:rsidR="00E840C1" w:rsidRPr="00300670" w:rsidRDefault="00E840C1" w:rsidP="000F6385">
            <w:pPr>
              <w:spacing w:before="20" w:after="20"/>
              <w:jc w:val="center"/>
              <w:rPr>
                <w:b/>
                <w:iCs/>
                <w:color w:val="FFFFFF" w:themeColor="background1"/>
                <w:sz w:val="18"/>
                <w:szCs w:val="18"/>
              </w:rPr>
            </w:pPr>
            <w:r w:rsidRPr="00300670">
              <w:rPr>
                <w:b/>
                <w:iCs/>
                <w:color w:val="FFFFFF" w:themeColor="background1"/>
                <w:sz w:val="18"/>
                <w:szCs w:val="18"/>
              </w:rPr>
              <w:t>F2</w:t>
            </w:r>
          </w:p>
        </w:tc>
        <w:tc>
          <w:tcPr>
            <w:tcW w:w="2064" w:type="dxa"/>
            <w:gridSpan w:val="2"/>
            <w:tcBorders>
              <w:top w:val="nil"/>
              <w:left w:val="nil"/>
              <w:bottom w:val="nil"/>
              <w:right w:val="nil"/>
            </w:tcBorders>
            <w:shd w:val="clear" w:color="auto" w:fill="7F7F7F" w:themeFill="text1" w:themeFillTint="80"/>
            <w:vAlign w:val="center"/>
          </w:tcPr>
          <w:p w14:paraId="5CF3F784" w14:textId="77777777" w:rsidR="00E840C1" w:rsidRPr="00300670" w:rsidRDefault="00E840C1" w:rsidP="000F6385">
            <w:pPr>
              <w:spacing w:before="20" w:after="20"/>
              <w:jc w:val="center"/>
              <w:rPr>
                <w:b/>
                <w:iCs/>
                <w:color w:val="FFFFFF" w:themeColor="background1"/>
                <w:sz w:val="18"/>
                <w:szCs w:val="18"/>
              </w:rPr>
            </w:pPr>
            <w:r w:rsidRPr="00300670">
              <w:rPr>
                <w:b/>
                <w:iCs/>
                <w:color w:val="FFFFFF" w:themeColor="background1"/>
                <w:sz w:val="18"/>
                <w:szCs w:val="18"/>
              </w:rPr>
              <w:t>BC1F2</w:t>
            </w:r>
          </w:p>
        </w:tc>
        <w:tc>
          <w:tcPr>
            <w:tcW w:w="2064" w:type="dxa"/>
            <w:gridSpan w:val="2"/>
            <w:tcBorders>
              <w:top w:val="nil"/>
              <w:left w:val="nil"/>
              <w:bottom w:val="nil"/>
              <w:right w:val="nil"/>
            </w:tcBorders>
            <w:shd w:val="clear" w:color="auto" w:fill="7F7F7F" w:themeFill="text1" w:themeFillTint="80"/>
            <w:vAlign w:val="center"/>
          </w:tcPr>
          <w:p w14:paraId="166B6F3A" w14:textId="77777777" w:rsidR="00E840C1" w:rsidRPr="00300670" w:rsidRDefault="00E840C1" w:rsidP="000F6385">
            <w:pPr>
              <w:spacing w:before="20" w:after="20"/>
              <w:jc w:val="center"/>
              <w:rPr>
                <w:b/>
                <w:iCs/>
                <w:color w:val="FFFFFF" w:themeColor="background1"/>
                <w:sz w:val="18"/>
                <w:szCs w:val="18"/>
              </w:rPr>
            </w:pPr>
            <w:r w:rsidRPr="00300670">
              <w:rPr>
                <w:b/>
                <w:iCs/>
                <w:color w:val="FFFFFF" w:themeColor="background1"/>
                <w:sz w:val="18"/>
                <w:szCs w:val="18"/>
              </w:rPr>
              <w:t>BC2F2</w:t>
            </w:r>
          </w:p>
        </w:tc>
      </w:tr>
      <w:tr w:rsidR="00E840C1" w14:paraId="1CD2A8C0" w14:textId="77777777" w:rsidTr="006F04C6">
        <w:tc>
          <w:tcPr>
            <w:tcW w:w="1515" w:type="dxa"/>
            <w:vMerge/>
            <w:tcBorders>
              <w:left w:val="nil"/>
              <w:bottom w:val="nil"/>
              <w:right w:val="nil"/>
            </w:tcBorders>
            <w:shd w:val="clear" w:color="auto" w:fill="7F7F7F" w:themeFill="text1" w:themeFillTint="80"/>
          </w:tcPr>
          <w:p w14:paraId="5DC1085D" w14:textId="77777777" w:rsidR="00E840C1" w:rsidRPr="00300670" w:rsidRDefault="00E840C1" w:rsidP="000F6385">
            <w:pPr>
              <w:rPr>
                <w:iCs/>
                <w:color w:val="FFFFFF" w:themeColor="background1"/>
                <w:sz w:val="18"/>
                <w:szCs w:val="18"/>
              </w:rPr>
            </w:pPr>
          </w:p>
        </w:tc>
        <w:tc>
          <w:tcPr>
            <w:tcW w:w="1047" w:type="dxa"/>
            <w:tcBorders>
              <w:top w:val="nil"/>
              <w:left w:val="nil"/>
              <w:bottom w:val="nil"/>
              <w:right w:val="nil"/>
            </w:tcBorders>
            <w:shd w:val="clear" w:color="auto" w:fill="7F7F7F" w:themeFill="text1" w:themeFillTint="80"/>
            <w:vAlign w:val="center"/>
          </w:tcPr>
          <w:p w14:paraId="516AB572" w14:textId="77777777" w:rsidR="00E840C1" w:rsidRPr="00300670" w:rsidRDefault="00E840C1" w:rsidP="000F6385">
            <w:pPr>
              <w:spacing w:before="20" w:after="20"/>
              <w:jc w:val="center"/>
              <w:rPr>
                <w:b/>
                <w:iCs/>
                <w:color w:val="FFFFFF" w:themeColor="background1"/>
                <w:sz w:val="18"/>
                <w:szCs w:val="18"/>
              </w:rPr>
            </w:pPr>
            <w:r w:rsidRPr="00300670">
              <w:rPr>
                <w:b/>
                <w:iCs/>
                <w:color w:val="FFFFFF" w:themeColor="background1"/>
                <w:sz w:val="18"/>
                <w:szCs w:val="18"/>
              </w:rPr>
              <w:t>Observed</w:t>
            </w:r>
          </w:p>
        </w:tc>
        <w:tc>
          <w:tcPr>
            <w:tcW w:w="1017" w:type="dxa"/>
            <w:tcBorders>
              <w:top w:val="nil"/>
              <w:left w:val="nil"/>
              <w:bottom w:val="nil"/>
              <w:right w:val="nil"/>
            </w:tcBorders>
            <w:shd w:val="clear" w:color="auto" w:fill="7F7F7F" w:themeFill="text1" w:themeFillTint="80"/>
            <w:vAlign w:val="center"/>
          </w:tcPr>
          <w:p w14:paraId="05BFB235" w14:textId="77777777" w:rsidR="00E840C1" w:rsidRPr="00300670" w:rsidRDefault="00E840C1" w:rsidP="000F6385">
            <w:pPr>
              <w:spacing w:before="20" w:after="20"/>
              <w:jc w:val="center"/>
              <w:rPr>
                <w:b/>
                <w:iCs/>
                <w:color w:val="FFFFFF" w:themeColor="background1"/>
                <w:sz w:val="18"/>
                <w:szCs w:val="18"/>
              </w:rPr>
            </w:pPr>
            <w:r w:rsidRPr="00300670">
              <w:rPr>
                <w:b/>
                <w:iCs/>
                <w:color w:val="FFFFFF" w:themeColor="background1"/>
                <w:sz w:val="18"/>
                <w:szCs w:val="18"/>
              </w:rPr>
              <w:t>Expected</w:t>
            </w:r>
          </w:p>
        </w:tc>
        <w:tc>
          <w:tcPr>
            <w:tcW w:w="1047" w:type="dxa"/>
            <w:tcBorders>
              <w:top w:val="nil"/>
              <w:left w:val="nil"/>
              <w:bottom w:val="nil"/>
              <w:right w:val="nil"/>
            </w:tcBorders>
            <w:shd w:val="clear" w:color="auto" w:fill="7F7F7F" w:themeFill="text1" w:themeFillTint="80"/>
            <w:vAlign w:val="center"/>
          </w:tcPr>
          <w:p w14:paraId="26243BED" w14:textId="77777777" w:rsidR="00E840C1" w:rsidRPr="00300670" w:rsidRDefault="00E840C1" w:rsidP="000F6385">
            <w:pPr>
              <w:spacing w:before="20" w:after="20"/>
              <w:jc w:val="center"/>
              <w:rPr>
                <w:b/>
                <w:iCs/>
                <w:color w:val="FFFFFF" w:themeColor="background1"/>
                <w:sz w:val="18"/>
                <w:szCs w:val="18"/>
              </w:rPr>
            </w:pPr>
            <w:r w:rsidRPr="00300670">
              <w:rPr>
                <w:b/>
                <w:iCs/>
                <w:color w:val="FFFFFF" w:themeColor="background1"/>
                <w:sz w:val="18"/>
                <w:szCs w:val="18"/>
              </w:rPr>
              <w:t>Observed</w:t>
            </w:r>
          </w:p>
        </w:tc>
        <w:tc>
          <w:tcPr>
            <w:tcW w:w="1017" w:type="dxa"/>
            <w:tcBorders>
              <w:top w:val="nil"/>
              <w:left w:val="nil"/>
              <w:bottom w:val="nil"/>
              <w:right w:val="nil"/>
            </w:tcBorders>
            <w:shd w:val="clear" w:color="auto" w:fill="7F7F7F" w:themeFill="text1" w:themeFillTint="80"/>
            <w:vAlign w:val="center"/>
          </w:tcPr>
          <w:p w14:paraId="571BAE11" w14:textId="77777777" w:rsidR="00E840C1" w:rsidRPr="00300670" w:rsidRDefault="00E840C1" w:rsidP="000F6385">
            <w:pPr>
              <w:spacing w:before="20" w:after="20"/>
              <w:jc w:val="center"/>
              <w:rPr>
                <w:b/>
                <w:iCs/>
                <w:color w:val="FFFFFF" w:themeColor="background1"/>
                <w:sz w:val="18"/>
                <w:szCs w:val="18"/>
              </w:rPr>
            </w:pPr>
            <w:r w:rsidRPr="00300670">
              <w:rPr>
                <w:b/>
                <w:iCs/>
                <w:color w:val="FFFFFF" w:themeColor="background1"/>
                <w:sz w:val="18"/>
                <w:szCs w:val="18"/>
              </w:rPr>
              <w:t>Expected</w:t>
            </w:r>
          </w:p>
        </w:tc>
        <w:tc>
          <w:tcPr>
            <w:tcW w:w="1047" w:type="dxa"/>
            <w:tcBorders>
              <w:top w:val="nil"/>
              <w:left w:val="nil"/>
              <w:bottom w:val="nil"/>
              <w:right w:val="nil"/>
            </w:tcBorders>
            <w:shd w:val="clear" w:color="auto" w:fill="7F7F7F" w:themeFill="text1" w:themeFillTint="80"/>
            <w:vAlign w:val="center"/>
          </w:tcPr>
          <w:p w14:paraId="5BF19A24" w14:textId="77777777" w:rsidR="00E840C1" w:rsidRPr="00300670" w:rsidRDefault="00E840C1" w:rsidP="000F6385">
            <w:pPr>
              <w:spacing w:before="20" w:after="20"/>
              <w:jc w:val="center"/>
              <w:rPr>
                <w:b/>
                <w:iCs/>
                <w:color w:val="FFFFFF" w:themeColor="background1"/>
                <w:sz w:val="18"/>
                <w:szCs w:val="18"/>
              </w:rPr>
            </w:pPr>
            <w:r w:rsidRPr="00300670">
              <w:rPr>
                <w:b/>
                <w:iCs/>
                <w:color w:val="FFFFFF" w:themeColor="background1"/>
                <w:sz w:val="18"/>
                <w:szCs w:val="18"/>
              </w:rPr>
              <w:t>Observed</w:t>
            </w:r>
          </w:p>
        </w:tc>
        <w:tc>
          <w:tcPr>
            <w:tcW w:w="1017" w:type="dxa"/>
            <w:tcBorders>
              <w:top w:val="nil"/>
              <w:left w:val="nil"/>
              <w:bottom w:val="nil"/>
              <w:right w:val="nil"/>
            </w:tcBorders>
            <w:shd w:val="clear" w:color="auto" w:fill="7F7F7F" w:themeFill="text1" w:themeFillTint="80"/>
            <w:vAlign w:val="center"/>
          </w:tcPr>
          <w:p w14:paraId="5EB33A5B" w14:textId="77777777" w:rsidR="00E840C1" w:rsidRPr="00300670" w:rsidRDefault="00E840C1" w:rsidP="000F6385">
            <w:pPr>
              <w:spacing w:before="20" w:after="20"/>
              <w:jc w:val="center"/>
              <w:rPr>
                <w:b/>
                <w:iCs/>
                <w:color w:val="FFFFFF" w:themeColor="background1"/>
                <w:sz w:val="18"/>
                <w:szCs w:val="18"/>
              </w:rPr>
            </w:pPr>
            <w:r w:rsidRPr="00300670">
              <w:rPr>
                <w:b/>
                <w:iCs/>
                <w:color w:val="FFFFFF" w:themeColor="background1"/>
                <w:sz w:val="18"/>
                <w:szCs w:val="18"/>
              </w:rPr>
              <w:t>Expected</w:t>
            </w:r>
          </w:p>
        </w:tc>
      </w:tr>
      <w:tr w:rsidR="00E840C1" w14:paraId="14306367" w14:textId="77777777" w:rsidTr="006F04C6">
        <w:tc>
          <w:tcPr>
            <w:tcW w:w="1515" w:type="dxa"/>
            <w:tcBorders>
              <w:top w:val="nil"/>
              <w:left w:val="nil"/>
              <w:bottom w:val="nil"/>
              <w:right w:val="nil"/>
            </w:tcBorders>
            <w:vAlign w:val="center"/>
          </w:tcPr>
          <w:p w14:paraId="58A0929C" w14:textId="77777777" w:rsidR="00E840C1" w:rsidRPr="00300670" w:rsidRDefault="00E840C1" w:rsidP="000F6385">
            <w:pPr>
              <w:spacing w:before="20" w:after="20"/>
              <w:jc w:val="center"/>
              <w:rPr>
                <w:iCs/>
                <w:sz w:val="18"/>
                <w:szCs w:val="18"/>
              </w:rPr>
            </w:pPr>
            <w:r w:rsidRPr="00300670">
              <w:rPr>
                <w:b/>
                <w:sz w:val="18"/>
                <w:szCs w:val="18"/>
              </w:rPr>
              <w:t>homozygous</w:t>
            </w:r>
          </w:p>
        </w:tc>
        <w:tc>
          <w:tcPr>
            <w:tcW w:w="1047" w:type="dxa"/>
            <w:tcBorders>
              <w:top w:val="nil"/>
              <w:left w:val="nil"/>
              <w:bottom w:val="nil"/>
              <w:right w:val="nil"/>
            </w:tcBorders>
            <w:vAlign w:val="center"/>
          </w:tcPr>
          <w:p w14:paraId="232541BE" w14:textId="00D14A86" w:rsidR="00E840C1" w:rsidRPr="00300670" w:rsidRDefault="006F1381" w:rsidP="000F6385">
            <w:pPr>
              <w:spacing w:before="20" w:after="20"/>
              <w:jc w:val="center"/>
              <w:rPr>
                <w:iCs/>
                <w:sz w:val="18"/>
                <w:szCs w:val="18"/>
              </w:rPr>
            </w:pPr>
            <w:r w:rsidRPr="00300670">
              <w:rPr>
                <w:iCs/>
                <w:sz w:val="18"/>
                <w:szCs w:val="18"/>
              </w:rPr>
              <w:t>54</w:t>
            </w:r>
          </w:p>
        </w:tc>
        <w:tc>
          <w:tcPr>
            <w:tcW w:w="1017" w:type="dxa"/>
            <w:tcBorders>
              <w:top w:val="nil"/>
              <w:left w:val="nil"/>
              <w:bottom w:val="nil"/>
              <w:right w:val="nil"/>
            </w:tcBorders>
            <w:vAlign w:val="center"/>
          </w:tcPr>
          <w:p w14:paraId="6757CC0B" w14:textId="13ABA3BB" w:rsidR="00E840C1" w:rsidRPr="00300670" w:rsidRDefault="006F1381" w:rsidP="000F6385">
            <w:pPr>
              <w:spacing w:before="20" w:after="20"/>
              <w:jc w:val="center"/>
              <w:rPr>
                <w:iCs/>
                <w:sz w:val="18"/>
                <w:szCs w:val="18"/>
              </w:rPr>
            </w:pPr>
            <w:r w:rsidRPr="00300670">
              <w:rPr>
                <w:iCs/>
                <w:sz w:val="18"/>
                <w:szCs w:val="18"/>
              </w:rPr>
              <w:t>54</w:t>
            </w:r>
          </w:p>
        </w:tc>
        <w:tc>
          <w:tcPr>
            <w:tcW w:w="1047" w:type="dxa"/>
            <w:tcBorders>
              <w:top w:val="nil"/>
              <w:left w:val="nil"/>
              <w:bottom w:val="nil"/>
              <w:right w:val="nil"/>
            </w:tcBorders>
            <w:vAlign w:val="center"/>
          </w:tcPr>
          <w:p w14:paraId="2E3BC0C7" w14:textId="6437AEE2" w:rsidR="00E840C1" w:rsidRPr="00300670" w:rsidRDefault="006F1381" w:rsidP="000F6385">
            <w:pPr>
              <w:spacing w:before="20" w:after="20"/>
              <w:jc w:val="center"/>
              <w:rPr>
                <w:iCs/>
                <w:sz w:val="18"/>
                <w:szCs w:val="18"/>
              </w:rPr>
            </w:pPr>
            <w:r w:rsidRPr="00300670">
              <w:rPr>
                <w:iCs/>
                <w:sz w:val="18"/>
                <w:szCs w:val="18"/>
              </w:rPr>
              <w:t>62</w:t>
            </w:r>
          </w:p>
        </w:tc>
        <w:tc>
          <w:tcPr>
            <w:tcW w:w="1017" w:type="dxa"/>
            <w:tcBorders>
              <w:top w:val="nil"/>
              <w:left w:val="nil"/>
              <w:bottom w:val="nil"/>
              <w:right w:val="nil"/>
            </w:tcBorders>
            <w:vAlign w:val="center"/>
          </w:tcPr>
          <w:p w14:paraId="455F52A8" w14:textId="1F8191E0" w:rsidR="00E840C1" w:rsidRPr="00300670" w:rsidRDefault="006F1381" w:rsidP="000F6385">
            <w:pPr>
              <w:spacing w:before="20" w:after="20"/>
              <w:jc w:val="center"/>
              <w:rPr>
                <w:iCs/>
                <w:sz w:val="18"/>
                <w:szCs w:val="18"/>
              </w:rPr>
            </w:pPr>
            <w:r w:rsidRPr="00300670">
              <w:rPr>
                <w:iCs/>
                <w:sz w:val="18"/>
                <w:szCs w:val="18"/>
              </w:rPr>
              <w:t>55.5</w:t>
            </w:r>
          </w:p>
        </w:tc>
        <w:tc>
          <w:tcPr>
            <w:tcW w:w="1047" w:type="dxa"/>
            <w:tcBorders>
              <w:top w:val="nil"/>
              <w:left w:val="nil"/>
              <w:bottom w:val="nil"/>
              <w:right w:val="nil"/>
            </w:tcBorders>
            <w:vAlign w:val="center"/>
          </w:tcPr>
          <w:p w14:paraId="74F2D1FE" w14:textId="262F824F" w:rsidR="00E840C1" w:rsidRPr="00300670" w:rsidRDefault="006F1381" w:rsidP="000F6385">
            <w:pPr>
              <w:spacing w:before="20" w:after="20"/>
              <w:jc w:val="center"/>
              <w:rPr>
                <w:iCs/>
                <w:sz w:val="18"/>
                <w:szCs w:val="18"/>
              </w:rPr>
            </w:pPr>
            <w:r w:rsidRPr="00300670">
              <w:rPr>
                <w:iCs/>
                <w:sz w:val="18"/>
                <w:szCs w:val="18"/>
              </w:rPr>
              <w:t>56</w:t>
            </w:r>
          </w:p>
        </w:tc>
        <w:tc>
          <w:tcPr>
            <w:tcW w:w="1017" w:type="dxa"/>
            <w:tcBorders>
              <w:top w:val="nil"/>
              <w:left w:val="nil"/>
              <w:bottom w:val="nil"/>
              <w:right w:val="nil"/>
            </w:tcBorders>
            <w:vAlign w:val="center"/>
          </w:tcPr>
          <w:p w14:paraId="226EEABF" w14:textId="1A6C604E" w:rsidR="00E840C1" w:rsidRPr="00300670" w:rsidRDefault="006F1381" w:rsidP="000F6385">
            <w:pPr>
              <w:spacing w:before="20" w:after="20"/>
              <w:jc w:val="center"/>
              <w:rPr>
                <w:iCs/>
                <w:sz w:val="18"/>
                <w:szCs w:val="18"/>
              </w:rPr>
            </w:pPr>
            <w:r w:rsidRPr="00300670">
              <w:rPr>
                <w:iCs/>
                <w:sz w:val="18"/>
                <w:szCs w:val="18"/>
              </w:rPr>
              <w:t>57.25</w:t>
            </w:r>
          </w:p>
        </w:tc>
      </w:tr>
      <w:tr w:rsidR="00E840C1" w14:paraId="2245C032" w14:textId="77777777" w:rsidTr="006F04C6">
        <w:tc>
          <w:tcPr>
            <w:tcW w:w="1515" w:type="dxa"/>
            <w:tcBorders>
              <w:top w:val="nil"/>
              <w:left w:val="nil"/>
              <w:bottom w:val="nil"/>
              <w:right w:val="nil"/>
            </w:tcBorders>
            <w:shd w:val="clear" w:color="auto" w:fill="D9D9D9" w:themeFill="background1" w:themeFillShade="D9"/>
            <w:vAlign w:val="center"/>
          </w:tcPr>
          <w:p w14:paraId="1F621ADF" w14:textId="77777777" w:rsidR="00E840C1" w:rsidRPr="00300670" w:rsidRDefault="00E840C1" w:rsidP="000F6385">
            <w:pPr>
              <w:spacing w:before="20" w:after="20"/>
              <w:jc w:val="center"/>
              <w:rPr>
                <w:iCs/>
                <w:sz w:val="18"/>
                <w:szCs w:val="18"/>
              </w:rPr>
            </w:pPr>
            <w:r w:rsidRPr="00300670">
              <w:rPr>
                <w:b/>
                <w:sz w:val="18"/>
                <w:szCs w:val="18"/>
              </w:rPr>
              <w:t>hemizygous</w:t>
            </w:r>
          </w:p>
        </w:tc>
        <w:tc>
          <w:tcPr>
            <w:tcW w:w="1047" w:type="dxa"/>
            <w:tcBorders>
              <w:top w:val="nil"/>
              <w:left w:val="nil"/>
              <w:bottom w:val="nil"/>
              <w:right w:val="nil"/>
            </w:tcBorders>
            <w:shd w:val="clear" w:color="auto" w:fill="D9D9D9" w:themeFill="background1" w:themeFillShade="D9"/>
            <w:vAlign w:val="center"/>
          </w:tcPr>
          <w:p w14:paraId="11AD962F" w14:textId="3F93DED5" w:rsidR="00E840C1" w:rsidRPr="00300670" w:rsidRDefault="006F1381" w:rsidP="000F6385">
            <w:pPr>
              <w:spacing w:before="20" w:after="20"/>
              <w:jc w:val="center"/>
              <w:rPr>
                <w:iCs/>
                <w:sz w:val="18"/>
                <w:szCs w:val="18"/>
              </w:rPr>
            </w:pPr>
            <w:r w:rsidRPr="00300670">
              <w:rPr>
                <w:iCs/>
                <w:sz w:val="18"/>
                <w:szCs w:val="18"/>
              </w:rPr>
              <w:t>102</w:t>
            </w:r>
          </w:p>
        </w:tc>
        <w:tc>
          <w:tcPr>
            <w:tcW w:w="1017" w:type="dxa"/>
            <w:tcBorders>
              <w:top w:val="nil"/>
              <w:left w:val="nil"/>
              <w:bottom w:val="nil"/>
              <w:right w:val="nil"/>
            </w:tcBorders>
            <w:shd w:val="clear" w:color="auto" w:fill="D9D9D9" w:themeFill="background1" w:themeFillShade="D9"/>
            <w:vAlign w:val="center"/>
          </w:tcPr>
          <w:p w14:paraId="4B675341" w14:textId="3219EB65" w:rsidR="00E840C1" w:rsidRPr="00300670" w:rsidRDefault="006F1381" w:rsidP="000F6385">
            <w:pPr>
              <w:spacing w:before="20" w:after="20"/>
              <w:jc w:val="center"/>
              <w:rPr>
                <w:iCs/>
                <w:sz w:val="18"/>
                <w:szCs w:val="18"/>
              </w:rPr>
            </w:pPr>
            <w:r w:rsidRPr="00300670">
              <w:rPr>
                <w:iCs/>
                <w:sz w:val="18"/>
                <w:szCs w:val="18"/>
              </w:rPr>
              <w:t>108</w:t>
            </w:r>
          </w:p>
        </w:tc>
        <w:tc>
          <w:tcPr>
            <w:tcW w:w="1047" w:type="dxa"/>
            <w:tcBorders>
              <w:top w:val="nil"/>
              <w:left w:val="nil"/>
              <w:bottom w:val="nil"/>
              <w:right w:val="nil"/>
            </w:tcBorders>
            <w:shd w:val="clear" w:color="auto" w:fill="D9D9D9" w:themeFill="background1" w:themeFillShade="D9"/>
            <w:vAlign w:val="center"/>
          </w:tcPr>
          <w:p w14:paraId="55F1B7B5" w14:textId="6CB0E38A" w:rsidR="00E840C1" w:rsidRPr="00300670" w:rsidRDefault="006F1381" w:rsidP="000F6385">
            <w:pPr>
              <w:spacing w:before="20" w:after="20"/>
              <w:jc w:val="center"/>
              <w:rPr>
                <w:iCs/>
                <w:sz w:val="18"/>
                <w:szCs w:val="18"/>
              </w:rPr>
            </w:pPr>
            <w:r w:rsidRPr="00300670">
              <w:rPr>
                <w:iCs/>
                <w:sz w:val="18"/>
                <w:szCs w:val="18"/>
              </w:rPr>
              <w:t>101</w:t>
            </w:r>
          </w:p>
        </w:tc>
        <w:tc>
          <w:tcPr>
            <w:tcW w:w="1017" w:type="dxa"/>
            <w:tcBorders>
              <w:top w:val="nil"/>
              <w:left w:val="nil"/>
              <w:bottom w:val="nil"/>
              <w:right w:val="nil"/>
            </w:tcBorders>
            <w:shd w:val="clear" w:color="auto" w:fill="D9D9D9" w:themeFill="background1" w:themeFillShade="D9"/>
            <w:vAlign w:val="center"/>
          </w:tcPr>
          <w:p w14:paraId="35218574" w14:textId="6E8FB4AC" w:rsidR="00E840C1" w:rsidRPr="00300670" w:rsidRDefault="006F1381" w:rsidP="000F6385">
            <w:pPr>
              <w:spacing w:before="20" w:after="20"/>
              <w:jc w:val="center"/>
              <w:rPr>
                <w:iCs/>
                <w:sz w:val="18"/>
                <w:szCs w:val="18"/>
              </w:rPr>
            </w:pPr>
            <w:r w:rsidRPr="00300670">
              <w:rPr>
                <w:iCs/>
                <w:sz w:val="18"/>
                <w:szCs w:val="18"/>
              </w:rPr>
              <w:t>111</w:t>
            </w:r>
          </w:p>
        </w:tc>
        <w:tc>
          <w:tcPr>
            <w:tcW w:w="1047" w:type="dxa"/>
            <w:tcBorders>
              <w:top w:val="nil"/>
              <w:left w:val="nil"/>
              <w:bottom w:val="nil"/>
              <w:right w:val="nil"/>
            </w:tcBorders>
            <w:shd w:val="clear" w:color="auto" w:fill="D9D9D9" w:themeFill="background1" w:themeFillShade="D9"/>
            <w:vAlign w:val="center"/>
          </w:tcPr>
          <w:p w14:paraId="62097FCA" w14:textId="3C66B39A" w:rsidR="00E840C1" w:rsidRPr="00300670" w:rsidRDefault="006F1381" w:rsidP="000F6385">
            <w:pPr>
              <w:spacing w:before="20" w:after="20"/>
              <w:jc w:val="center"/>
              <w:rPr>
                <w:iCs/>
                <w:sz w:val="18"/>
                <w:szCs w:val="18"/>
              </w:rPr>
            </w:pPr>
            <w:r w:rsidRPr="00300670">
              <w:rPr>
                <w:iCs/>
                <w:sz w:val="18"/>
                <w:szCs w:val="18"/>
              </w:rPr>
              <w:t>104</w:t>
            </w:r>
          </w:p>
        </w:tc>
        <w:tc>
          <w:tcPr>
            <w:tcW w:w="1017" w:type="dxa"/>
            <w:tcBorders>
              <w:top w:val="nil"/>
              <w:left w:val="nil"/>
              <w:bottom w:val="nil"/>
              <w:right w:val="nil"/>
            </w:tcBorders>
            <w:shd w:val="clear" w:color="auto" w:fill="D9D9D9" w:themeFill="background1" w:themeFillShade="D9"/>
            <w:vAlign w:val="center"/>
          </w:tcPr>
          <w:p w14:paraId="2178619E" w14:textId="36C80AB9" w:rsidR="00E840C1" w:rsidRPr="00300670" w:rsidRDefault="006F1381" w:rsidP="000F6385">
            <w:pPr>
              <w:spacing w:before="20" w:after="20"/>
              <w:jc w:val="center"/>
              <w:rPr>
                <w:iCs/>
                <w:sz w:val="18"/>
                <w:szCs w:val="18"/>
              </w:rPr>
            </w:pPr>
            <w:r w:rsidRPr="00300670">
              <w:rPr>
                <w:iCs/>
                <w:sz w:val="18"/>
                <w:szCs w:val="18"/>
              </w:rPr>
              <w:t>114.5</w:t>
            </w:r>
          </w:p>
        </w:tc>
      </w:tr>
      <w:tr w:rsidR="00E840C1" w14:paraId="55677DE8" w14:textId="77777777" w:rsidTr="006F04C6">
        <w:tc>
          <w:tcPr>
            <w:tcW w:w="1515" w:type="dxa"/>
            <w:tcBorders>
              <w:top w:val="nil"/>
              <w:left w:val="nil"/>
              <w:bottom w:val="nil"/>
              <w:right w:val="nil"/>
            </w:tcBorders>
            <w:vAlign w:val="center"/>
          </w:tcPr>
          <w:p w14:paraId="68EAF0D0" w14:textId="77777777" w:rsidR="00E840C1" w:rsidRPr="00300670" w:rsidRDefault="00E840C1" w:rsidP="000F6385">
            <w:pPr>
              <w:spacing w:before="20" w:after="20"/>
              <w:jc w:val="center"/>
              <w:rPr>
                <w:iCs/>
                <w:sz w:val="18"/>
                <w:szCs w:val="18"/>
              </w:rPr>
            </w:pPr>
            <w:r w:rsidRPr="00300670">
              <w:rPr>
                <w:b/>
                <w:sz w:val="18"/>
                <w:szCs w:val="18"/>
              </w:rPr>
              <w:t>null</w:t>
            </w:r>
          </w:p>
        </w:tc>
        <w:tc>
          <w:tcPr>
            <w:tcW w:w="1047" w:type="dxa"/>
            <w:tcBorders>
              <w:top w:val="nil"/>
              <w:left w:val="nil"/>
              <w:bottom w:val="nil"/>
              <w:right w:val="nil"/>
            </w:tcBorders>
            <w:vAlign w:val="center"/>
          </w:tcPr>
          <w:p w14:paraId="182553AD" w14:textId="6F9072FF" w:rsidR="00E840C1" w:rsidRPr="00300670" w:rsidRDefault="006F1381" w:rsidP="006F1381">
            <w:pPr>
              <w:spacing w:before="20" w:after="20"/>
              <w:jc w:val="center"/>
              <w:rPr>
                <w:iCs/>
                <w:sz w:val="18"/>
                <w:szCs w:val="18"/>
              </w:rPr>
            </w:pPr>
            <w:r w:rsidRPr="00300670">
              <w:rPr>
                <w:iCs/>
                <w:sz w:val="18"/>
                <w:szCs w:val="18"/>
              </w:rPr>
              <w:t>60</w:t>
            </w:r>
          </w:p>
        </w:tc>
        <w:tc>
          <w:tcPr>
            <w:tcW w:w="1017" w:type="dxa"/>
            <w:tcBorders>
              <w:top w:val="nil"/>
              <w:left w:val="nil"/>
              <w:bottom w:val="nil"/>
              <w:right w:val="nil"/>
            </w:tcBorders>
            <w:vAlign w:val="center"/>
          </w:tcPr>
          <w:p w14:paraId="6B07CDD7" w14:textId="7313DF2D" w:rsidR="00E840C1" w:rsidRPr="00300670" w:rsidRDefault="006F1381" w:rsidP="000F6385">
            <w:pPr>
              <w:spacing w:before="20" w:after="20"/>
              <w:jc w:val="center"/>
              <w:rPr>
                <w:iCs/>
                <w:sz w:val="18"/>
                <w:szCs w:val="18"/>
              </w:rPr>
            </w:pPr>
            <w:r w:rsidRPr="00300670">
              <w:rPr>
                <w:iCs/>
                <w:sz w:val="18"/>
                <w:szCs w:val="18"/>
              </w:rPr>
              <w:t>54</w:t>
            </w:r>
          </w:p>
        </w:tc>
        <w:tc>
          <w:tcPr>
            <w:tcW w:w="1047" w:type="dxa"/>
            <w:tcBorders>
              <w:top w:val="nil"/>
              <w:left w:val="nil"/>
              <w:bottom w:val="nil"/>
              <w:right w:val="nil"/>
            </w:tcBorders>
            <w:vAlign w:val="center"/>
          </w:tcPr>
          <w:p w14:paraId="2570A193" w14:textId="589080BB" w:rsidR="00E840C1" w:rsidRPr="00300670" w:rsidRDefault="006F1381" w:rsidP="000F6385">
            <w:pPr>
              <w:spacing w:before="20" w:after="20"/>
              <w:jc w:val="center"/>
              <w:rPr>
                <w:iCs/>
                <w:sz w:val="18"/>
                <w:szCs w:val="18"/>
              </w:rPr>
            </w:pPr>
            <w:r w:rsidRPr="00300670">
              <w:rPr>
                <w:iCs/>
                <w:sz w:val="18"/>
                <w:szCs w:val="18"/>
              </w:rPr>
              <w:t>59</w:t>
            </w:r>
          </w:p>
        </w:tc>
        <w:tc>
          <w:tcPr>
            <w:tcW w:w="1017" w:type="dxa"/>
            <w:tcBorders>
              <w:top w:val="nil"/>
              <w:left w:val="nil"/>
              <w:bottom w:val="nil"/>
              <w:right w:val="nil"/>
            </w:tcBorders>
            <w:vAlign w:val="center"/>
          </w:tcPr>
          <w:p w14:paraId="6CF3509A" w14:textId="5941A7CF" w:rsidR="00E840C1" w:rsidRPr="00300670" w:rsidRDefault="006F1381" w:rsidP="000F6385">
            <w:pPr>
              <w:spacing w:before="20" w:after="20"/>
              <w:jc w:val="center"/>
              <w:rPr>
                <w:iCs/>
                <w:sz w:val="18"/>
                <w:szCs w:val="18"/>
              </w:rPr>
            </w:pPr>
            <w:r w:rsidRPr="00300670">
              <w:rPr>
                <w:iCs/>
                <w:sz w:val="18"/>
                <w:szCs w:val="18"/>
              </w:rPr>
              <w:t>55.5</w:t>
            </w:r>
          </w:p>
        </w:tc>
        <w:tc>
          <w:tcPr>
            <w:tcW w:w="1047" w:type="dxa"/>
            <w:tcBorders>
              <w:top w:val="nil"/>
              <w:left w:val="nil"/>
              <w:bottom w:val="nil"/>
              <w:right w:val="nil"/>
            </w:tcBorders>
            <w:vAlign w:val="center"/>
          </w:tcPr>
          <w:p w14:paraId="4D6819BB" w14:textId="3360A393" w:rsidR="00E840C1" w:rsidRPr="00300670" w:rsidRDefault="006F1381" w:rsidP="000F6385">
            <w:pPr>
              <w:spacing w:before="20" w:after="20"/>
              <w:jc w:val="center"/>
              <w:rPr>
                <w:iCs/>
                <w:sz w:val="18"/>
                <w:szCs w:val="18"/>
              </w:rPr>
            </w:pPr>
            <w:r w:rsidRPr="00300670">
              <w:rPr>
                <w:iCs/>
                <w:sz w:val="18"/>
                <w:szCs w:val="18"/>
              </w:rPr>
              <w:t>69</w:t>
            </w:r>
          </w:p>
        </w:tc>
        <w:tc>
          <w:tcPr>
            <w:tcW w:w="1017" w:type="dxa"/>
            <w:tcBorders>
              <w:top w:val="nil"/>
              <w:left w:val="nil"/>
              <w:bottom w:val="nil"/>
              <w:right w:val="nil"/>
            </w:tcBorders>
            <w:vAlign w:val="center"/>
          </w:tcPr>
          <w:p w14:paraId="2DB00974" w14:textId="09BF8CB8" w:rsidR="00E840C1" w:rsidRPr="00300670" w:rsidRDefault="006F1381" w:rsidP="000F6385">
            <w:pPr>
              <w:spacing w:before="20" w:after="20"/>
              <w:jc w:val="center"/>
              <w:rPr>
                <w:iCs/>
                <w:sz w:val="18"/>
                <w:szCs w:val="18"/>
              </w:rPr>
            </w:pPr>
            <w:r w:rsidRPr="00300670">
              <w:rPr>
                <w:iCs/>
                <w:sz w:val="18"/>
                <w:szCs w:val="18"/>
              </w:rPr>
              <w:t>57.25</w:t>
            </w:r>
          </w:p>
        </w:tc>
      </w:tr>
      <w:tr w:rsidR="00E840C1" w14:paraId="3E1FFA36" w14:textId="77777777" w:rsidTr="006F04C6">
        <w:tc>
          <w:tcPr>
            <w:tcW w:w="1515" w:type="dxa"/>
            <w:tcBorders>
              <w:top w:val="nil"/>
              <w:left w:val="nil"/>
              <w:bottom w:val="nil"/>
              <w:right w:val="nil"/>
            </w:tcBorders>
            <w:shd w:val="clear" w:color="auto" w:fill="D9D9D9" w:themeFill="background1" w:themeFillShade="D9"/>
            <w:vAlign w:val="center"/>
          </w:tcPr>
          <w:p w14:paraId="7E561428" w14:textId="7D81F696" w:rsidR="00E840C1" w:rsidRPr="00300670" w:rsidRDefault="006F1381" w:rsidP="000F6385">
            <w:pPr>
              <w:spacing w:before="20" w:after="20"/>
              <w:jc w:val="center"/>
              <w:rPr>
                <w:iCs/>
                <w:sz w:val="18"/>
                <w:szCs w:val="18"/>
              </w:rPr>
            </w:pPr>
            <w:r w:rsidRPr="00300670">
              <w:rPr>
                <w:b/>
                <w:sz w:val="18"/>
                <w:szCs w:val="18"/>
              </w:rPr>
              <w:t>Total plants</w:t>
            </w:r>
          </w:p>
        </w:tc>
        <w:tc>
          <w:tcPr>
            <w:tcW w:w="2064" w:type="dxa"/>
            <w:gridSpan w:val="2"/>
            <w:tcBorders>
              <w:top w:val="nil"/>
              <w:left w:val="nil"/>
              <w:bottom w:val="nil"/>
              <w:right w:val="nil"/>
            </w:tcBorders>
            <w:shd w:val="clear" w:color="auto" w:fill="D9D9D9" w:themeFill="background1" w:themeFillShade="D9"/>
            <w:vAlign w:val="center"/>
          </w:tcPr>
          <w:p w14:paraId="47502B6E" w14:textId="6FEF6E0C" w:rsidR="00E840C1" w:rsidRPr="00300670" w:rsidRDefault="006F1381" w:rsidP="000F6385">
            <w:pPr>
              <w:spacing w:before="20" w:after="20"/>
              <w:jc w:val="center"/>
              <w:rPr>
                <w:iCs/>
                <w:sz w:val="18"/>
                <w:szCs w:val="18"/>
              </w:rPr>
            </w:pPr>
            <w:r w:rsidRPr="00300670">
              <w:rPr>
                <w:iCs/>
                <w:sz w:val="18"/>
                <w:szCs w:val="18"/>
              </w:rPr>
              <w:t>216</w:t>
            </w:r>
          </w:p>
        </w:tc>
        <w:tc>
          <w:tcPr>
            <w:tcW w:w="2064" w:type="dxa"/>
            <w:gridSpan w:val="2"/>
            <w:tcBorders>
              <w:top w:val="nil"/>
              <w:left w:val="nil"/>
              <w:bottom w:val="nil"/>
              <w:right w:val="nil"/>
            </w:tcBorders>
            <w:shd w:val="clear" w:color="auto" w:fill="D9D9D9" w:themeFill="background1" w:themeFillShade="D9"/>
            <w:vAlign w:val="center"/>
          </w:tcPr>
          <w:p w14:paraId="699F0030" w14:textId="4A42CF22" w:rsidR="00E840C1" w:rsidRPr="00300670" w:rsidRDefault="006F1381" w:rsidP="000F6385">
            <w:pPr>
              <w:spacing w:before="20" w:after="20"/>
              <w:jc w:val="center"/>
              <w:rPr>
                <w:iCs/>
                <w:sz w:val="18"/>
                <w:szCs w:val="18"/>
              </w:rPr>
            </w:pPr>
            <w:r w:rsidRPr="00300670">
              <w:rPr>
                <w:iCs/>
                <w:sz w:val="18"/>
                <w:szCs w:val="18"/>
              </w:rPr>
              <w:t>222</w:t>
            </w:r>
          </w:p>
        </w:tc>
        <w:tc>
          <w:tcPr>
            <w:tcW w:w="2064" w:type="dxa"/>
            <w:gridSpan w:val="2"/>
            <w:tcBorders>
              <w:top w:val="nil"/>
              <w:left w:val="nil"/>
              <w:bottom w:val="nil"/>
              <w:right w:val="nil"/>
            </w:tcBorders>
            <w:shd w:val="clear" w:color="auto" w:fill="D9D9D9" w:themeFill="background1" w:themeFillShade="D9"/>
            <w:vAlign w:val="center"/>
          </w:tcPr>
          <w:p w14:paraId="13D71A7D" w14:textId="23B6ED50" w:rsidR="00E840C1" w:rsidRPr="00300670" w:rsidRDefault="006F1381" w:rsidP="000F6385">
            <w:pPr>
              <w:spacing w:before="20" w:after="20"/>
              <w:jc w:val="center"/>
              <w:rPr>
                <w:iCs/>
                <w:sz w:val="18"/>
                <w:szCs w:val="18"/>
              </w:rPr>
            </w:pPr>
            <w:r w:rsidRPr="00300670">
              <w:rPr>
                <w:iCs/>
                <w:sz w:val="18"/>
                <w:szCs w:val="18"/>
              </w:rPr>
              <w:t>229</w:t>
            </w:r>
          </w:p>
        </w:tc>
      </w:tr>
      <w:tr w:rsidR="006F1381" w14:paraId="6742FECB" w14:textId="77777777" w:rsidTr="006F04C6">
        <w:tc>
          <w:tcPr>
            <w:tcW w:w="1515" w:type="dxa"/>
            <w:tcBorders>
              <w:top w:val="nil"/>
              <w:left w:val="nil"/>
              <w:bottom w:val="nil"/>
              <w:right w:val="nil"/>
            </w:tcBorders>
            <w:shd w:val="clear" w:color="auto" w:fill="FFFFFF" w:themeFill="background1"/>
            <w:vAlign w:val="center"/>
          </w:tcPr>
          <w:p w14:paraId="5D925741" w14:textId="255AE279" w:rsidR="006F1381" w:rsidRPr="00300670" w:rsidRDefault="006F1381" w:rsidP="000F6385">
            <w:pPr>
              <w:spacing w:before="20" w:after="20"/>
              <w:jc w:val="center"/>
              <w:rPr>
                <w:b/>
                <w:sz w:val="18"/>
                <w:szCs w:val="18"/>
              </w:rPr>
            </w:pPr>
            <w:r w:rsidRPr="00300670">
              <w:rPr>
                <w:b/>
                <w:sz w:val="18"/>
                <w:szCs w:val="18"/>
              </w:rPr>
              <w:t>X</w:t>
            </w:r>
            <w:r w:rsidRPr="00300670">
              <w:rPr>
                <w:b/>
                <w:sz w:val="18"/>
                <w:szCs w:val="18"/>
                <w:vertAlign w:val="superscript"/>
              </w:rPr>
              <w:t>2</w:t>
            </w:r>
          </w:p>
        </w:tc>
        <w:tc>
          <w:tcPr>
            <w:tcW w:w="2064" w:type="dxa"/>
            <w:gridSpan w:val="2"/>
            <w:tcBorders>
              <w:top w:val="nil"/>
              <w:left w:val="nil"/>
              <w:bottom w:val="nil"/>
              <w:right w:val="nil"/>
            </w:tcBorders>
            <w:shd w:val="clear" w:color="auto" w:fill="FFFFFF" w:themeFill="background1"/>
            <w:vAlign w:val="center"/>
          </w:tcPr>
          <w:p w14:paraId="522A40D6" w14:textId="3D33E5E0" w:rsidR="006F1381" w:rsidRPr="00300670" w:rsidRDefault="006F1381" w:rsidP="000F6385">
            <w:pPr>
              <w:spacing w:before="20" w:after="20"/>
              <w:jc w:val="center"/>
              <w:rPr>
                <w:iCs/>
                <w:sz w:val="18"/>
                <w:szCs w:val="18"/>
              </w:rPr>
            </w:pPr>
            <w:r w:rsidRPr="00300670">
              <w:rPr>
                <w:iCs/>
                <w:sz w:val="18"/>
                <w:szCs w:val="18"/>
              </w:rPr>
              <w:t>1.000</w:t>
            </w:r>
          </w:p>
        </w:tc>
        <w:tc>
          <w:tcPr>
            <w:tcW w:w="2064" w:type="dxa"/>
            <w:gridSpan w:val="2"/>
            <w:tcBorders>
              <w:top w:val="nil"/>
              <w:left w:val="nil"/>
              <w:bottom w:val="nil"/>
              <w:right w:val="nil"/>
            </w:tcBorders>
            <w:shd w:val="clear" w:color="auto" w:fill="FFFFFF" w:themeFill="background1"/>
            <w:vAlign w:val="center"/>
          </w:tcPr>
          <w:p w14:paraId="3A0644FC" w14:textId="6570FE0E" w:rsidR="006F1381" w:rsidRPr="00300670" w:rsidRDefault="006F1381" w:rsidP="000F6385">
            <w:pPr>
              <w:spacing w:before="20" w:after="20"/>
              <w:jc w:val="center"/>
              <w:rPr>
                <w:iCs/>
                <w:sz w:val="18"/>
                <w:szCs w:val="18"/>
              </w:rPr>
            </w:pPr>
            <w:r w:rsidRPr="00300670">
              <w:rPr>
                <w:iCs/>
                <w:sz w:val="18"/>
                <w:szCs w:val="18"/>
              </w:rPr>
              <w:t>1.883</w:t>
            </w:r>
          </w:p>
        </w:tc>
        <w:tc>
          <w:tcPr>
            <w:tcW w:w="2064" w:type="dxa"/>
            <w:gridSpan w:val="2"/>
            <w:tcBorders>
              <w:top w:val="nil"/>
              <w:left w:val="nil"/>
              <w:bottom w:val="nil"/>
              <w:right w:val="nil"/>
            </w:tcBorders>
            <w:shd w:val="clear" w:color="auto" w:fill="FFFFFF" w:themeFill="background1"/>
            <w:vAlign w:val="center"/>
          </w:tcPr>
          <w:p w14:paraId="1D9138F6" w14:textId="1EB444A5" w:rsidR="006F1381" w:rsidRPr="00300670" w:rsidRDefault="006F1381" w:rsidP="000F6385">
            <w:pPr>
              <w:spacing w:before="20" w:after="20"/>
              <w:jc w:val="center"/>
              <w:rPr>
                <w:iCs/>
                <w:sz w:val="18"/>
                <w:szCs w:val="18"/>
              </w:rPr>
            </w:pPr>
            <w:r w:rsidRPr="00300670">
              <w:rPr>
                <w:iCs/>
                <w:sz w:val="18"/>
                <w:szCs w:val="18"/>
              </w:rPr>
              <w:t>3.402</w:t>
            </w:r>
          </w:p>
        </w:tc>
      </w:tr>
    </w:tbl>
    <w:p w14:paraId="38F30A07" w14:textId="77777777" w:rsidR="00930CCF" w:rsidRDefault="00930CCF" w:rsidP="00221257">
      <w:pPr>
        <w:pStyle w:val="Heading3"/>
      </w:pPr>
      <w:bookmarkStart w:id="124" w:name="_Toc482255819"/>
      <w:bookmarkStart w:id="125" w:name="_Toc489531031"/>
      <w:bookmarkStart w:id="126" w:name="_Toc491439832"/>
      <w:bookmarkStart w:id="127" w:name="_Toc493515862"/>
      <w:bookmarkStart w:id="128" w:name="_Toc495489332"/>
      <w:bookmarkStart w:id="129" w:name="_Toc496169785"/>
      <w:r w:rsidRPr="005D543B">
        <w:t>3.4.5</w:t>
      </w:r>
      <w:r w:rsidRPr="005D543B">
        <w:tab/>
        <w:t>Open read</w:t>
      </w:r>
      <w:r>
        <w:t>ing</w:t>
      </w:r>
      <w:r w:rsidRPr="005D543B">
        <w:t xml:space="preserve"> frame (ORF) analysis</w:t>
      </w:r>
      <w:bookmarkEnd w:id="124"/>
      <w:bookmarkEnd w:id="125"/>
      <w:bookmarkEnd w:id="126"/>
      <w:bookmarkEnd w:id="127"/>
      <w:bookmarkEnd w:id="128"/>
      <w:bookmarkEnd w:id="129"/>
    </w:p>
    <w:p w14:paraId="5ED484EF" w14:textId="7D190775" w:rsidR="00930CCF" w:rsidRDefault="00930CCF" w:rsidP="00930CCF">
      <w:pPr>
        <w:rPr>
          <w:lang w:bidi="ar-SA"/>
        </w:rPr>
      </w:pPr>
      <w:r w:rsidRPr="002C465B">
        <w:rPr>
          <w:lang w:bidi="ar-SA"/>
        </w:rPr>
        <w:t xml:space="preserve">The </w:t>
      </w:r>
      <w:r w:rsidR="006B4590">
        <w:rPr>
          <w:lang w:bidi="ar-SA"/>
        </w:rPr>
        <w:t>A</w:t>
      </w:r>
      <w:r w:rsidR="005934BB">
        <w:rPr>
          <w:lang w:bidi="ar-SA"/>
        </w:rPr>
        <w:t>pplicant</w:t>
      </w:r>
      <w:r w:rsidRPr="002C465B">
        <w:rPr>
          <w:lang w:bidi="ar-SA"/>
        </w:rPr>
        <w:t xml:space="preserve"> used </w:t>
      </w:r>
      <w:r>
        <w:rPr>
          <w:lang w:bidi="ar-SA"/>
        </w:rPr>
        <w:t>the search program GetORF</w:t>
      </w:r>
      <w:r w:rsidRPr="002C465B">
        <w:rPr>
          <w:lang w:bidi="ar-SA"/>
        </w:rPr>
        <w:t xml:space="preserve"> to identity all start-to-stop ORFs in </w:t>
      </w:r>
      <w:r>
        <w:rPr>
          <w:lang w:bidi="ar-SA"/>
        </w:rPr>
        <w:t xml:space="preserve">both </w:t>
      </w:r>
      <w:r w:rsidRPr="002C465B">
        <w:rPr>
          <w:lang w:bidi="ar-SA"/>
        </w:rPr>
        <w:t xml:space="preserve">the inserted DNA and </w:t>
      </w:r>
      <w:r>
        <w:rPr>
          <w:lang w:bidi="ar-SA"/>
        </w:rPr>
        <w:t>junctions between the insert and genomic DNA. A</w:t>
      </w:r>
      <w:r w:rsidRPr="002C465B">
        <w:rPr>
          <w:lang w:bidi="ar-SA"/>
        </w:rPr>
        <w:t>ll six reading frames</w:t>
      </w:r>
      <w:r>
        <w:rPr>
          <w:lang w:bidi="ar-SA"/>
        </w:rPr>
        <w:t xml:space="preserve"> were analysed</w:t>
      </w:r>
      <w:r w:rsidRPr="002C465B">
        <w:rPr>
          <w:lang w:bidi="ar-SA"/>
        </w:rPr>
        <w:t>.</w:t>
      </w:r>
      <w:r>
        <w:rPr>
          <w:lang w:bidi="ar-SA"/>
        </w:rPr>
        <w:t xml:space="preserve"> ORFs of </w:t>
      </w:r>
      <w:r w:rsidR="002941EE">
        <w:rPr>
          <w:rFonts w:cs="Arial"/>
          <w:lang w:bidi="ar-SA"/>
        </w:rPr>
        <w:t>≥</w:t>
      </w:r>
      <w:r w:rsidR="002941EE">
        <w:rPr>
          <w:lang w:bidi="ar-SA"/>
        </w:rPr>
        <w:t xml:space="preserve"> </w:t>
      </w:r>
      <w:r>
        <w:rPr>
          <w:lang w:bidi="ar-SA"/>
        </w:rPr>
        <w:t>3 amino acids</w:t>
      </w:r>
      <w:r w:rsidRPr="005D543B">
        <w:rPr>
          <w:lang w:bidi="ar-SA"/>
        </w:rPr>
        <w:t xml:space="preserve"> </w:t>
      </w:r>
      <w:r>
        <w:rPr>
          <w:lang w:bidi="ar-SA"/>
        </w:rPr>
        <w:t xml:space="preserve">were initially captured identifying a total of </w:t>
      </w:r>
      <w:r w:rsidR="00F463EC">
        <w:rPr>
          <w:lang w:bidi="ar-SA"/>
        </w:rPr>
        <w:t>601</w:t>
      </w:r>
      <w:r>
        <w:rPr>
          <w:lang w:bidi="ar-SA"/>
        </w:rPr>
        <w:t xml:space="preserve"> ORFs. From this pool, </w:t>
      </w:r>
      <w:r w:rsidR="00F463EC">
        <w:rPr>
          <w:lang w:bidi="ar-SA"/>
        </w:rPr>
        <w:t>115</w:t>
      </w:r>
      <w:r>
        <w:rPr>
          <w:lang w:bidi="ar-SA"/>
        </w:rPr>
        <w:t xml:space="preserve"> potential proteins were identified with a minimum length of 30 amino acids. Proteins of </w:t>
      </w:r>
      <w:r w:rsidR="002941EE">
        <w:rPr>
          <w:rFonts w:cs="Arial"/>
          <w:lang w:bidi="ar-SA"/>
        </w:rPr>
        <w:t>≥</w:t>
      </w:r>
      <w:r w:rsidR="002941EE">
        <w:rPr>
          <w:lang w:bidi="ar-SA"/>
        </w:rPr>
        <w:t xml:space="preserve"> </w:t>
      </w:r>
      <w:r>
        <w:rPr>
          <w:lang w:bidi="ar-SA"/>
        </w:rPr>
        <w:t xml:space="preserve">30 amino acids meet the minimum requirements of a </w:t>
      </w:r>
      <w:r w:rsidRPr="00CE1128">
        <w:rPr>
          <w:color w:val="000000" w:themeColor="text1"/>
        </w:rPr>
        <w:t xml:space="preserve">35% </w:t>
      </w:r>
      <w:r>
        <w:rPr>
          <w:color w:val="000000" w:themeColor="text1"/>
        </w:rPr>
        <w:t>match</w:t>
      </w:r>
      <w:r w:rsidRPr="00CE1128">
        <w:rPr>
          <w:color w:val="000000" w:themeColor="text1"/>
        </w:rPr>
        <w:t xml:space="preserve"> over an 80 amino acid sequence</w:t>
      </w:r>
      <w:r>
        <w:rPr>
          <w:color w:val="000000" w:themeColor="text1"/>
        </w:rPr>
        <w:t xml:space="preserve"> (Codex 2009)</w:t>
      </w:r>
      <w:r>
        <w:rPr>
          <w:lang w:bidi="ar-SA"/>
        </w:rPr>
        <w:t>. These 1</w:t>
      </w:r>
      <w:r w:rsidR="00F463EC">
        <w:rPr>
          <w:lang w:bidi="ar-SA"/>
        </w:rPr>
        <w:t>15</w:t>
      </w:r>
      <w:r>
        <w:rPr>
          <w:lang w:bidi="ar-SA"/>
        </w:rPr>
        <w:t xml:space="preserve"> potential proteins were then used as query sequences in homology searches for known allergens and toxins. </w:t>
      </w:r>
    </w:p>
    <w:p w14:paraId="19FCAF3A" w14:textId="77777777" w:rsidR="00930CCF" w:rsidRDefault="00930CCF" w:rsidP="00930CCF">
      <w:pPr>
        <w:pStyle w:val="Heading4"/>
      </w:pPr>
      <w:bookmarkStart w:id="130" w:name="_3.4.5.1__Bioinformatic"/>
      <w:bookmarkEnd w:id="130"/>
      <w:r>
        <w:t xml:space="preserve">3.4.5.1 </w:t>
      </w:r>
      <w:r>
        <w:tab/>
      </w:r>
      <w:r w:rsidRPr="00DD6B6A">
        <w:t>Bioinformatic analysis for potential allergenicity</w:t>
      </w:r>
    </w:p>
    <w:p w14:paraId="6C48FDB3" w14:textId="71D5F92D" w:rsidR="002941EE" w:rsidRDefault="00F463EC" w:rsidP="00930CCF">
      <w:pPr>
        <w:rPr>
          <w:lang w:bidi="ar-SA"/>
        </w:rPr>
      </w:pPr>
      <w:r>
        <w:rPr>
          <w:lang w:bidi="ar-SA"/>
        </w:rPr>
        <w:t xml:space="preserve">The </w:t>
      </w:r>
      <w:r w:rsidR="006B4590">
        <w:rPr>
          <w:lang w:bidi="ar-SA"/>
        </w:rPr>
        <w:t>A</w:t>
      </w:r>
      <w:r w:rsidR="005934BB">
        <w:rPr>
          <w:lang w:bidi="ar-SA"/>
        </w:rPr>
        <w:t>pplicant</w:t>
      </w:r>
      <w:r>
        <w:rPr>
          <w:lang w:bidi="ar-SA"/>
        </w:rPr>
        <w:t xml:space="preserve"> provided the results of </w:t>
      </w:r>
      <w:r w:rsidRPr="007875DF">
        <w:rPr>
          <w:i/>
          <w:lang w:bidi="ar-SA"/>
        </w:rPr>
        <w:t>in silico</w:t>
      </w:r>
      <w:r>
        <w:rPr>
          <w:lang w:bidi="ar-SA"/>
        </w:rPr>
        <w:t xml:space="preserve"> analyses comparing the 115 amino acid sequences identified as potential proteins to known allergenic proteins listed in the Comprehensive Protein Allergen Resource (</w:t>
      </w:r>
      <w:hyperlink r:id="rId14" w:history="1">
        <w:r w:rsidRPr="00E501A3">
          <w:rPr>
            <w:rStyle w:val="Hyperlink"/>
            <w:lang w:bidi="ar-SA"/>
          </w:rPr>
          <w:t>COMPARE</w:t>
        </w:r>
      </w:hyperlink>
      <w:r>
        <w:rPr>
          <w:rStyle w:val="FootnoteReference"/>
          <w:lang w:bidi="ar-SA"/>
        </w:rPr>
        <w:footnoteReference w:id="3"/>
      </w:r>
      <w:r>
        <w:rPr>
          <w:lang w:bidi="ar-SA"/>
        </w:rPr>
        <w:t xml:space="preserve">) database, from the Health and Environmental Science Institute. </w:t>
      </w:r>
      <w:r w:rsidR="002941EE">
        <w:rPr>
          <w:lang w:bidi="ar-SA"/>
        </w:rPr>
        <w:t>At the date of the search, there were 2,038 sequences in the allergen database</w:t>
      </w:r>
      <w:r w:rsidR="00930CCF">
        <w:rPr>
          <w:lang w:bidi="ar-SA"/>
        </w:rPr>
        <w:t xml:space="preserve">. </w:t>
      </w:r>
    </w:p>
    <w:p w14:paraId="42B4A75E" w14:textId="77777777" w:rsidR="002941EE" w:rsidRDefault="002941EE" w:rsidP="00930CCF">
      <w:pPr>
        <w:rPr>
          <w:lang w:bidi="ar-SA"/>
        </w:rPr>
      </w:pPr>
    </w:p>
    <w:p w14:paraId="1A96A6F5" w14:textId="7F1A34E7" w:rsidR="00930CCF" w:rsidRDefault="002941EE" w:rsidP="00930CCF">
      <w:pPr>
        <w:rPr>
          <w:lang w:bidi="ar-SA"/>
        </w:rPr>
      </w:pPr>
      <w:r>
        <w:rPr>
          <w:lang w:bidi="ar-SA"/>
        </w:rPr>
        <w:t>The following</w:t>
      </w:r>
      <w:r w:rsidR="00930CCF">
        <w:rPr>
          <w:lang w:bidi="ar-SA"/>
        </w:rPr>
        <w:t xml:space="preserve"> </w:t>
      </w:r>
      <w:r>
        <w:rPr>
          <w:lang w:bidi="ar-SA"/>
        </w:rPr>
        <w:t>analyses were performed for the sequence</w:t>
      </w:r>
      <w:r w:rsidR="00930CCF">
        <w:rPr>
          <w:lang w:bidi="ar-SA"/>
        </w:rPr>
        <w:t xml:space="preserve"> comparison:</w:t>
      </w:r>
    </w:p>
    <w:p w14:paraId="208FCA77" w14:textId="77777777" w:rsidR="00930CCF" w:rsidRDefault="00930CCF" w:rsidP="00930CCF">
      <w:pPr>
        <w:rPr>
          <w:lang w:bidi="ar-SA"/>
        </w:rPr>
      </w:pPr>
    </w:p>
    <w:p w14:paraId="2A081EAB" w14:textId="0BC378FA" w:rsidR="00930CCF" w:rsidRPr="00E46A9C" w:rsidRDefault="00930CCF" w:rsidP="00930CCF">
      <w:pPr>
        <w:ind w:left="450" w:hanging="450"/>
        <w:rPr>
          <w:color w:val="984806" w:themeColor="accent6" w:themeShade="80"/>
          <w:lang w:bidi="ar-SA"/>
        </w:rPr>
      </w:pPr>
      <w:r>
        <w:rPr>
          <w:lang w:bidi="ar-SA"/>
        </w:rPr>
        <w:t>(</w:t>
      </w:r>
      <w:r w:rsidR="003B6D18">
        <w:rPr>
          <w:lang w:bidi="ar-SA"/>
        </w:rPr>
        <w:t>a</w:t>
      </w:r>
      <w:r>
        <w:rPr>
          <w:lang w:bidi="ar-SA"/>
        </w:rPr>
        <w:t>)</w:t>
      </w:r>
      <w:r>
        <w:rPr>
          <w:lang w:bidi="ar-SA"/>
        </w:rPr>
        <w:tab/>
      </w:r>
      <w:r w:rsidR="002941EE">
        <w:rPr>
          <w:lang w:bidi="ar-SA"/>
        </w:rPr>
        <w:t>Full length</w:t>
      </w:r>
      <w:r>
        <w:rPr>
          <w:lang w:bidi="ar-SA"/>
        </w:rPr>
        <w:t xml:space="preserve"> search </w:t>
      </w:r>
      <w:r w:rsidRPr="002941EE">
        <w:rPr>
          <w:lang w:bidi="ar-SA"/>
        </w:rPr>
        <w:t xml:space="preserve">– </w:t>
      </w:r>
      <w:r w:rsidR="00681765" w:rsidRPr="00681765">
        <w:rPr>
          <w:lang w:bidi="ar-SA"/>
        </w:rPr>
        <w:t>a FASTA alignment using a BLOSUM50 scoring matrix and E-value threshold conservatively set at 1. Only matches of ≥ 35% similarity over 80 amino acids were considered.</w:t>
      </w:r>
    </w:p>
    <w:p w14:paraId="148D50AD" w14:textId="77777777" w:rsidR="00930CCF" w:rsidRPr="002941EE" w:rsidRDefault="00930CCF" w:rsidP="00930CCF">
      <w:pPr>
        <w:ind w:left="450" w:hanging="450"/>
        <w:rPr>
          <w:lang w:bidi="ar-SA"/>
        </w:rPr>
      </w:pPr>
    </w:p>
    <w:p w14:paraId="0C5CCC6D" w14:textId="32167049" w:rsidR="00930CCF" w:rsidRDefault="00930CCF" w:rsidP="00930CCF">
      <w:pPr>
        <w:ind w:left="450" w:hanging="450"/>
        <w:rPr>
          <w:lang w:bidi="ar-SA"/>
        </w:rPr>
      </w:pPr>
      <w:r w:rsidRPr="002941EE">
        <w:rPr>
          <w:lang w:bidi="ar-SA"/>
        </w:rPr>
        <w:t>(</w:t>
      </w:r>
      <w:r w:rsidR="003B6D18" w:rsidRPr="002941EE">
        <w:rPr>
          <w:lang w:bidi="ar-SA"/>
        </w:rPr>
        <w:t>b</w:t>
      </w:r>
      <w:r w:rsidRPr="002941EE">
        <w:rPr>
          <w:lang w:bidi="ar-SA"/>
        </w:rPr>
        <w:t>)</w:t>
      </w:r>
      <w:r w:rsidRPr="002941EE">
        <w:rPr>
          <w:lang w:bidi="ar-SA"/>
        </w:rPr>
        <w:tab/>
        <w:t xml:space="preserve">8-mer exact match search – </w:t>
      </w:r>
      <w:r w:rsidR="002941EE">
        <w:rPr>
          <w:lang w:bidi="ar-SA"/>
        </w:rPr>
        <w:t xml:space="preserve">Alignment made use of </w:t>
      </w:r>
      <w:r w:rsidR="003B6D18" w:rsidRPr="002941EE">
        <w:rPr>
          <w:lang w:bidi="ar-SA"/>
        </w:rPr>
        <w:t xml:space="preserve">the </w:t>
      </w:r>
      <w:r w:rsidRPr="002941EE">
        <w:rPr>
          <w:rFonts w:ascii="ArialMT" w:hAnsi="ArialMT" w:cs="ArialMT"/>
          <w:sz w:val="21"/>
          <w:szCs w:val="21"/>
          <w:lang w:eastAsia="en-GB" w:bidi="ar-SA"/>
        </w:rPr>
        <w:t xml:space="preserve">SeqMatchAll </w:t>
      </w:r>
      <w:r w:rsidR="003B6D18" w:rsidRPr="002941EE">
        <w:rPr>
          <w:rFonts w:ascii="ArialMT" w:hAnsi="ArialMT" w:cs="ArialMT"/>
          <w:sz w:val="21"/>
          <w:szCs w:val="21"/>
          <w:lang w:eastAsia="en-GB" w:bidi="ar-SA"/>
        </w:rPr>
        <w:t xml:space="preserve">tool </w:t>
      </w:r>
      <w:r w:rsidRPr="002941EE">
        <w:rPr>
          <w:rFonts w:ascii="ArialMT" w:hAnsi="ArialMT" w:cs="ArialMT"/>
          <w:sz w:val="21"/>
          <w:szCs w:val="21"/>
          <w:lang w:eastAsia="en-GB" w:bidi="ar-SA"/>
        </w:rPr>
        <w:t>from the European Molecu</w:t>
      </w:r>
      <w:r w:rsidR="003B6D18" w:rsidRPr="002941EE">
        <w:rPr>
          <w:rFonts w:ascii="ArialMT" w:hAnsi="ArialMT" w:cs="ArialMT"/>
          <w:sz w:val="21"/>
          <w:szCs w:val="21"/>
          <w:lang w:eastAsia="en-GB" w:bidi="ar-SA"/>
        </w:rPr>
        <w:t>lar Biology Open Software Suite</w:t>
      </w:r>
      <w:r w:rsidR="002941EE">
        <w:rPr>
          <w:rFonts w:ascii="ArialMT" w:hAnsi="ArialMT" w:cs="ArialMT"/>
          <w:sz w:val="21"/>
          <w:szCs w:val="21"/>
          <w:lang w:eastAsia="en-GB" w:bidi="ar-SA"/>
        </w:rPr>
        <w:t xml:space="preserve"> (EMBOSS). Only matches of </w:t>
      </w:r>
      <w:r w:rsidR="003B6D18" w:rsidRPr="002941EE">
        <w:rPr>
          <w:rFonts w:ascii="ArialMT" w:hAnsi="ArialMT" w:cs="ArialMT"/>
          <w:sz w:val="21"/>
          <w:szCs w:val="21"/>
          <w:lang w:eastAsia="en-GB" w:bidi="ar-SA"/>
        </w:rPr>
        <w:t xml:space="preserve">100% similarity </w:t>
      </w:r>
      <w:r w:rsidR="002941EE">
        <w:rPr>
          <w:rFonts w:ascii="ArialMT" w:hAnsi="ArialMT" w:cs="ArialMT"/>
          <w:sz w:val="21"/>
          <w:szCs w:val="21"/>
          <w:lang w:eastAsia="en-GB" w:bidi="ar-SA"/>
        </w:rPr>
        <w:t>over</w:t>
      </w:r>
      <w:r w:rsidR="003B6D18" w:rsidRPr="002941EE">
        <w:rPr>
          <w:rFonts w:ascii="ArialMT" w:hAnsi="ArialMT" w:cs="ArialMT"/>
          <w:sz w:val="21"/>
          <w:szCs w:val="21"/>
          <w:lang w:eastAsia="en-GB" w:bidi="ar-SA"/>
        </w:rPr>
        <w:t xml:space="preserve"> 8</w:t>
      </w:r>
      <w:r w:rsidR="002941EE">
        <w:rPr>
          <w:rFonts w:ascii="ArialMT" w:hAnsi="ArialMT" w:cs="ArialMT"/>
          <w:sz w:val="21"/>
          <w:szCs w:val="21"/>
          <w:lang w:eastAsia="en-GB" w:bidi="ar-SA"/>
        </w:rPr>
        <w:t xml:space="preserve"> amino acids</w:t>
      </w:r>
      <w:r w:rsidR="003B6D18" w:rsidRPr="002941EE">
        <w:rPr>
          <w:rFonts w:ascii="ArialMT" w:hAnsi="ArialMT" w:cs="ArialMT"/>
          <w:sz w:val="21"/>
          <w:szCs w:val="21"/>
          <w:lang w:eastAsia="en-GB" w:bidi="ar-SA"/>
        </w:rPr>
        <w:t xml:space="preserve"> </w:t>
      </w:r>
      <w:r w:rsidR="002941EE">
        <w:rPr>
          <w:rFonts w:ascii="ArialMT" w:hAnsi="ArialMT" w:cs="ArialMT"/>
          <w:sz w:val="21"/>
          <w:szCs w:val="21"/>
          <w:lang w:eastAsia="en-GB" w:bidi="ar-SA"/>
        </w:rPr>
        <w:t>were considered</w:t>
      </w:r>
      <w:r w:rsidR="003B6D18" w:rsidRPr="002941EE">
        <w:rPr>
          <w:rFonts w:ascii="ArialMT" w:hAnsi="ArialMT" w:cs="ArialMT"/>
          <w:sz w:val="21"/>
          <w:szCs w:val="21"/>
          <w:lang w:eastAsia="en-GB" w:bidi="ar-SA"/>
        </w:rPr>
        <w:t>.</w:t>
      </w:r>
    </w:p>
    <w:p w14:paraId="5F1B2153" w14:textId="77777777" w:rsidR="00930CCF" w:rsidRDefault="00930CCF" w:rsidP="00930CCF">
      <w:pPr>
        <w:rPr>
          <w:lang w:bidi="ar-SA"/>
        </w:rPr>
      </w:pPr>
    </w:p>
    <w:p w14:paraId="2EDA620B" w14:textId="69497298" w:rsidR="00930CCF" w:rsidRPr="0020036F" w:rsidRDefault="00930CCF" w:rsidP="00930CCF">
      <w:pPr>
        <w:rPr>
          <w:lang w:bidi="ar-SA"/>
        </w:rPr>
      </w:pPr>
      <w:r>
        <w:rPr>
          <w:lang w:bidi="ar-SA"/>
        </w:rPr>
        <w:t>Of the 1</w:t>
      </w:r>
      <w:r w:rsidR="004048AB">
        <w:rPr>
          <w:lang w:bidi="ar-SA"/>
        </w:rPr>
        <w:t>15</w:t>
      </w:r>
      <w:r>
        <w:rPr>
          <w:lang w:bidi="ar-SA"/>
        </w:rPr>
        <w:t xml:space="preserve"> potential ORFs used to query the </w:t>
      </w:r>
      <w:r w:rsidR="004048AB">
        <w:rPr>
          <w:lang w:bidi="ar-SA"/>
        </w:rPr>
        <w:t>COMPARE</w:t>
      </w:r>
      <w:r>
        <w:rPr>
          <w:lang w:bidi="ar-SA"/>
        </w:rPr>
        <w:t xml:space="preserve"> database, no similarities were found </w:t>
      </w:r>
      <w:r w:rsidR="004048AB">
        <w:rPr>
          <w:lang w:bidi="ar-SA"/>
        </w:rPr>
        <w:t xml:space="preserve">using the full length search </w:t>
      </w:r>
      <w:r>
        <w:rPr>
          <w:lang w:bidi="ar-SA"/>
        </w:rPr>
        <w:t>to any of the known allergenic proteins.</w:t>
      </w:r>
      <w:r w:rsidR="004048AB">
        <w:rPr>
          <w:lang w:bidi="ar-SA"/>
        </w:rPr>
        <w:t xml:space="preserve"> A single hit was identified with the 8-mer search for a Cas s 5 allergen</w:t>
      </w:r>
      <w:r w:rsidR="00D43839">
        <w:rPr>
          <w:lang w:bidi="ar-SA"/>
        </w:rPr>
        <w:t xml:space="preserve"> however </w:t>
      </w:r>
      <w:r w:rsidR="00DC3A62">
        <w:rPr>
          <w:lang w:bidi="ar-SA"/>
        </w:rPr>
        <w:t>subsequent c</w:t>
      </w:r>
      <w:r w:rsidR="004048AB">
        <w:rPr>
          <w:lang w:bidi="ar-SA"/>
        </w:rPr>
        <w:t>omparison of the full length putative proteins found no similarity to the Cas allergen. Analysis of the ORF</w:t>
      </w:r>
      <w:r w:rsidR="00DC3A62">
        <w:rPr>
          <w:lang w:bidi="ar-SA"/>
        </w:rPr>
        <w:t>s</w:t>
      </w:r>
      <w:r w:rsidR="004048AB">
        <w:rPr>
          <w:lang w:bidi="ar-SA"/>
        </w:rPr>
        <w:t xml:space="preserve"> </w:t>
      </w:r>
      <w:r w:rsidR="00DC3A62">
        <w:rPr>
          <w:lang w:bidi="ar-SA"/>
        </w:rPr>
        <w:t xml:space="preserve">also </w:t>
      </w:r>
      <w:r w:rsidR="004048AB">
        <w:rPr>
          <w:lang w:bidi="ar-SA"/>
        </w:rPr>
        <w:t xml:space="preserve">did not identify </w:t>
      </w:r>
      <w:r w:rsidR="00DC3A62">
        <w:rPr>
          <w:lang w:bidi="ar-SA"/>
        </w:rPr>
        <w:t xml:space="preserve">a suitable start codon that would lead to a </w:t>
      </w:r>
      <w:r w:rsidR="00D43839">
        <w:rPr>
          <w:lang w:bidi="ar-SA"/>
        </w:rPr>
        <w:t xml:space="preserve">translation </w:t>
      </w:r>
      <w:r w:rsidR="00DC3A62">
        <w:rPr>
          <w:lang w:bidi="ar-SA"/>
        </w:rPr>
        <w:t xml:space="preserve">event. </w:t>
      </w:r>
    </w:p>
    <w:p w14:paraId="0AF00143" w14:textId="77777777" w:rsidR="00930CCF" w:rsidRDefault="00930CCF" w:rsidP="00930CCF">
      <w:pPr>
        <w:pStyle w:val="Heading4"/>
      </w:pPr>
      <w:r w:rsidRPr="00B50867">
        <w:t xml:space="preserve">3.4.5.2 </w:t>
      </w:r>
      <w:r w:rsidRPr="00B50867">
        <w:tab/>
        <w:t>Bioinformatic</w:t>
      </w:r>
      <w:r w:rsidRPr="00DD6B6A">
        <w:t xml:space="preserve"> analysis for potential </w:t>
      </w:r>
      <w:r>
        <w:t>toxicity</w:t>
      </w:r>
    </w:p>
    <w:p w14:paraId="59DE27C2" w14:textId="3CBF598F" w:rsidR="00930CCF" w:rsidRDefault="00930CCF" w:rsidP="00930CCF">
      <w:pPr>
        <w:rPr>
          <w:lang w:bidi="ar-SA"/>
        </w:rPr>
      </w:pPr>
      <w:r>
        <w:rPr>
          <w:lang w:bidi="ar-SA"/>
        </w:rPr>
        <w:t xml:space="preserve">The </w:t>
      </w:r>
      <w:r w:rsidR="006B4590">
        <w:rPr>
          <w:lang w:bidi="ar-SA"/>
        </w:rPr>
        <w:t>A</w:t>
      </w:r>
      <w:r w:rsidR="005934BB">
        <w:rPr>
          <w:lang w:bidi="ar-SA"/>
        </w:rPr>
        <w:t xml:space="preserve">pplicant </w:t>
      </w:r>
      <w:r>
        <w:rPr>
          <w:lang w:bidi="ar-SA"/>
        </w:rPr>
        <w:t xml:space="preserve">provided results from </w:t>
      </w:r>
      <w:r w:rsidRPr="00EB5D13">
        <w:rPr>
          <w:i/>
          <w:lang w:bidi="ar-SA"/>
        </w:rPr>
        <w:t>in silico</w:t>
      </w:r>
      <w:r w:rsidRPr="00F04AB9">
        <w:rPr>
          <w:lang w:bidi="ar-SA"/>
        </w:rPr>
        <w:t xml:space="preserve"> </w:t>
      </w:r>
      <w:r>
        <w:rPr>
          <w:lang w:bidi="ar-SA"/>
        </w:rPr>
        <w:t>analyses comparing the 1</w:t>
      </w:r>
      <w:r w:rsidR="004048AB">
        <w:rPr>
          <w:lang w:bidi="ar-SA"/>
        </w:rPr>
        <w:t>15</w:t>
      </w:r>
      <w:r>
        <w:rPr>
          <w:lang w:bidi="ar-SA"/>
        </w:rPr>
        <w:t xml:space="preserve"> potential proteins identified as ORFs to</w:t>
      </w:r>
      <w:r w:rsidRPr="00F01809">
        <w:rPr>
          <w:lang w:bidi="ar-SA"/>
        </w:rPr>
        <w:t xml:space="preserve"> </w:t>
      </w:r>
      <w:r>
        <w:rPr>
          <w:lang w:bidi="ar-SA"/>
        </w:rPr>
        <w:t>known</w:t>
      </w:r>
      <w:r w:rsidRPr="00F01809">
        <w:rPr>
          <w:lang w:bidi="ar-SA"/>
        </w:rPr>
        <w:t xml:space="preserve"> </w:t>
      </w:r>
      <w:r>
        <w:rPr>
          <w:lang w:bidi="ar-SA"/>
        </w:rPr>
        <w:t>protein toxins identified in the NCBI non-redundant protein database. A FASTA algorithm was used with a BLOSUM50 scoring matrix and the E-value threshold set to 0.1.</w:t>
      </w:r>
      <w:r w:rsidR="00DC3A62">
        <w:rPr>
          <w:lang w:bidi="ar-SA"/>
        </w:rPr>
        <w:t xml:space="preserve"> No matches were found between the putative proteins and any of the known proteins toxins.</w:t>
      </w:r>
    </w:p>
    <w:p w14:paraId="4CC2A075" w14:textId="77777777" w:rsidR="00930CCF" w:rsidRDefault="00930CCF" w:rsidP="00221257">
      <w:pPr>
        <w:pStyle w:val="Heading3"/>
      </w:pPr>
      <w:bookmarkStart w:id="131" w:name="_Toc482255821"/>
      <w:bookmarkStart w:id="132" w:name="_Toc489531032"/>
      <w:bookmarkStart w:id="133" w:name="_Toc491439833"/>
      <w:bookmarkStart w:id="134" w:name="_Toc493515863"/>
      <w:bookmarkStart w:id="135" w:name="_Toc495489333"/>
      <w:bookmarkStart w:id="136" w:name="_Toc496169786"/>
      <w:r w:rsidRPr="00D53E1B">
        <w:t>3.4.</w:t>
      </w:r>
      <w:r>
        <w:t xml:space="preserve">6 </w:t>
      </w:r>
      <w:r>
        <w:tab/>
        <w:t>Conclusion</w:t>
      </w:r>
      <w:bookmarkEnd w:id="131"/>
      <w:bookmarkEnd w:id="132"/>
      <w:bookmarkEnd w:id="133"/>
      <w:bookmarkEnd w:id="134"/>
      <w:bookmarkEnd w:id="135"/>
      <w:bookmarkEnd w:id="136"/>
    </w:p>
    <w:p w14:paraId="3AE9BAE1" w14:textId="61EDF402" w:rsidR="00DB7611" w:rsidRDefault="00930CCF" w:rsidP="00DB7611">
      <w:r>
        <w:t xml:space="preserve">The data provided by the </w:t>
      </w:r>
      <w:r w:rsidR="006B4590">
        <w:t>A</w:t>
      </w:r>
      <w:r w:rsidR="005934BB">
        <w:t>pplicant</w:t>
      </w:r>
      <w:r>
        <w:t xml:space="preserve"> showed</w:t>
      </w:r>
      <w:r w:rsidRPr="003365FE">
        <w:t xml:space="preserve"> that a single</w:t>
      </w:r>
      <w:r>
        <w:t xml:space="preserve"> integration event has occurred at a specific locus. The T-DNA region from </w:t>
      </w:r>
      <w:r w:rsidR="00DC3A62" w:rsidRPr="00FC4E0C">
        <w:rPr>
          <w:color w:val="000000" w:themeColor="text1"/>
        </w:rPr>
        <w:t>pSZ8832</w:t>
      </w:r>
      <w:r>
        <w:t xml:space="preserve">, containing the </w:t>
      </w:r>
      <w:r w:rsidR="00DC3A62">
        <w:rPr>
          <w:i/>
        </w:rPr>
        <w:t>cry14Ab-1.b</w:t>
      </w:r>
      <w:r>
        <w:t xml:space="preserve"> and </w:t>
      </w:r>
      <w:r w:rsidRPr="002A2327">
        <w:rPr>
          <w:i/>
          <w:color w:val="000000" w:themeColor="text1"/>
        </w:rPr>
        <w:t>hppd</w:t>
      </w:r>
      <w:r w:rsidR="00150DB9">
        <w:rPr>
          <w:i/>
          <w:color w:val="000000" w:themeColor="text1"/>
        </w:rPr>
        <w:t>Pf</w:t>
      </w:r>
      <w:r w:rsidR="00DC3A62">
        <w:rPr>
          <w:i/>
          <w:color w:val="000000" w:themeColor="text1"/>
        </w:rPr>
        <w:t>-4Pa</w:t>
      </w:r>
      <w:r>
        <w:rPr>
          <w:color w:val="000000" w:themeColor="text1"/>
        </w:rPr>
        <w:t xml:space="preserve"> </w:t>
      </w:r>
      <w:r>
        <w:t>gene cassettes, has</w:t>
      </w:r>
      <w:r w:rsidR="00DC3A62">
        <w:t xml:space="preserve"> been inserted</w:t>
      </w:r>
      <w:r w:rsidR="00150DB9">
        <w:t xml:space="preserve"> without rearrangement. </w:t>
      </w:r>
      <w:r w:rsidR="00DB7611">
        <w:t>A</w:t>
      </w:r>
      <w:r w:rsidR="00150DB9">
        <w:t xml:space="preserve"> deletion </w:t>
      </w:r>
      <w:r w:rsidR="00DB7611">
        <w:t xml:space="preserve">was identified </w:t>
      </w:r>
      <w:r w:rsidR="00150DB9">
        <w:t xml:space="preserve">at the </w:t>
      </w:r>
      <w:r w:rsidR="00DB7611">
        <w:t>LB</w:t>
      </w:r>
      <w:r w:rsidR="00150DB9">
        <w:t xml:space="preserve"> region resulting in truncation of the promoter for </w:t>
      </w:r>
      <w:r w:rsidR="00150DB9" w:rsidRPr="00150DB9">
        <w:rPr>
          <w:i/>
        </w:rPr>
        <w:t>cry14Ab-1.b</w:t>
      </w:r>
      <w:r>
        <w:t xml:space="preserve">. </w:t>
      </w:r>
      <w:r w:rsidR="00DB7611">
        <w:t>No backbone sequences from the transforming plasmid have been incorporated.</w:t>
      </w:r>
      <w:r w:rsidR="00DB7611" w:rsidRPr="00DB7611">
        <w:t xml:space="preserve"> </w:t>
      </w:r>
      <w:r w:rsidR="00DB7611" w:rsidRPr="00A276BF">
        <w:t>Th</w:t>
      </w:r>
      <w:r w:rsidR="00DB7611">
        <w:t>e</w:t>
      </w:r>
      <w:r w:rsidR="00DB7611" w:rsidRPr="00A276BF">
        <w:t xml:space="preserve"> introduced DNA </w:t>
      </w:r>
      <w:r w:rsidR="00DB7611">
        <w:t>was shown to be</w:t>
      </w:r>
      <w:r w:rsidR="00DB7611" w:rsidRPr="00A276BF">
        <w:t xml:space="preserve"> stably inherited</w:t>
      </w:r>
      <w:r w:rsidR="00DB7611">
        <w:t xml:space="preserve"> across generations. </w:t>
      </w:r>
    </w:p>
    <w:p w14:paraId="4734817A" w14:textId="77777777" w:rsidR="00CB3819" w:rsidRDefault="00CB3819">
      <w:pPr>
        <w:widowControl/>
        <w:rPr>
          <w:b/>
          <w:bCs/>
          <w:sz w:val="36"/>
          <w:szCs w:val="28"/>
          <w:lang w:bidi="ar-SA"/>
        </w:rPr>
      </w:pPr>
      <w:bookmarkStart w:id="137" w:name="_Toc496169787"/>
      <w:bookmarkStart w:id="138" w:name="_Toc34830892"/>
      <w:r>
        <w:br w:type="page"/>
      </w:r>
    </w:p>
    <w:p w14:paraId="1A0E998F" w14:textId="59C3CA4B" w:rsidR="00C43EA6" w:rsidRPr="00656BB3" w:rsidRDefault="00C43EA6" w:rsidP="00221257">
      <w:pPr>
        <w:pStyle w:val="Heading1"/>
        <w:ind w:left="567" w:hanging="567"/>
      </w:pPr>
      <w:r>
        <w:t>4</w:t>
      </w:r>
      <w:r>
        <w:tab/>
        <w:t>Characterisation and safety assessment of novel substances</w:t>
      </w:r>
      <w:bookmarkEnd w:id="137"/>
      <w:bookmarkEnd w:id="138"/>
    </w:p>
    <w:p w14:paraId="3D25B90C" w14:textId="77777777" w:rsidR="00C43EA6" w:rsidRDefault="00C43EA6" w:rsidP="00C43EA6">
      <w:pPr>
        <w:rPr>
          <w:rFonts w:cs="Arial"/>
          <w:color w:val="000000" w:themeColor="text1"/>
          <w:szCs w:val="22"/>
        </w:rPr>
      </w:pPr>
      <w:bookmarkStart w:id="139" w:name="_Toc438636882"/>
      <w:bookmarkStart w:id="140" w:name="_Toc482255823"/>
      <w:bookmarkEnd w:id="139"/>
      <w:bookmarkEnd w:id="140"/>
      <w:r w:rsidRPr="006D1C1E">
        <w:rPr>
          <w:rFonts w:cs="Arial"/>
          <w:color w:val="000000" w:themeColor="text1"/>
          <w:szCs w:val="22"/>
        </w:rPr>
        <w:t>In considering the safety of novel proteins it is important to consider that a large and diverse range of proteins are ingested as part of the normal human diet without any adverse effects</w:t>
      </w:r>
      <w:r>
        <w:rPr>
          <w:rFonts w:cs="Arial"/>
          <w:color w:val="000000" w:themeColor="text1"/>
          <w:szCs w:val="22"/>
        </w:rPr>
        <w:t xml:space="preserve">. </w:t>
      </w:r>
    </w:p>
    <w:p w14:paraId="6B38E0BE" w14:textId="4C4175F2" w:rsidR="00C43EA6" w:rsidRDefault="00C43EA6" w:rsidP="00C43EA6">
      <w:pPr>
        <w:rPr>
          <w:rFonts w:cs="Arial"/>
          <w:color w:val="000000" w:themeColor="text1"/>
          <w:szCs w:val="22"/>
        </w:rPr>
      </w:pPr>
      <w:r w:rsidRPr="006D1C1E">
        <w:rPr>
          <w:rFonts w:cs="Arial"/>
          <w:color w:val="000000" w:themeColor="text1"/>
          <w:szCs w:val="22"/>
        </w:rPr>
        <w:t>Only a small number of dietary proteins have the potential to impair health, because they have anti-nutrient properties or they can cause allergies in some consumers (Delaney et al. 2008). As proteins perform a wide variety of functions, different possible effects have to be considered during the safety assessment including potential toxic, anti-nutrient or allergenic effects.</w:t>
      </w:r>
    </w:p>
    <w:p w14:paraId="0656A700" w14:textId="3CCF17D7" w:rsidR="003F1F24" w:rsidRDefault="003F1F24" w:rsidP="00C43EA6">
      <w:pPr>
        <w:rPr>
          <w:rFonts w:cs="Arial"/>
          <w:color w:val="000000" w:themeColor="text1"/>
          <w:szCs w:val="22"/>
        </w:rPr>
      </w:pPr>
    </w:p>
    <w:p w14:paraId="51B6A1B2" w14:textId="52C306C6" w:rsidR="003F1F24" w:rsidRPr="00262CF4" w:rsidRDefault="003F1F24" w:rsidP="003F1F24">
      <w:pPr>
        <w:rPr>
          <w:rFonts w:cs="Arial"/>
          <w:color w:val="000000" w:themeColor="text1"/>
          <w:szCs w:val="22"/>
        </w:rPr>
      </w:pPr>
      <w:r w:rsidRPr="00262CF4">
        <w:rPr>
          <w:rFonts w:cs="Arial"/>
          <w:color w:val="000000" w:themeColor="text1"/>
          <w:szCs w:val="22"/>
        </w:rPr>
        <w:t>To effectively identify any potential hazards, knowledge of the characteristics,</w:t>
      </w:r>
      <w:r w:rsidR="00B2438E">
        <w:rPr>
          <w:rFonts w:cs="Arial"/>
          <w:color w:val="000000" w:themeColor="text1"/>
          <w:szCs w:val="22"/>
        </w:rPr>
        <w:t xml:space="preserve"> </w:t>
      </w:r>
      <w:r w:rsidR="00B2438E" w:rsidRPr="00262CF4">
        <w:rPr>
          <w:rFonts w:cs="Arial"/>
          <w:color w:val="000000" w:themeColor="text1"/>
          <w:szCs w:val="22"/>
        </w:rPr>
        <w:t>detailed understanding of the biochemical function and phenotypic effects</w:t>
      </w:r>
      <w:r w:rsidRPr="00262CF4">
        <w:rPr>
          <w:rFonts w:cs="Arial"/>
          <w:color w:val="000000" w:themeColor="text1"/>
          <w:szCs w:val="22"/>
        </w:rPr>
        <w:t xml:space="preserve"> </w:t>
      </w:r>
      <w:r w:rsidR="00B2438E">
        <w:rPr>
          <w:rFonts w:cs="Arial"/>
          <w:color w:val="000000" w:themeColor="text1"/>
          <w:szCs w:val="22"/>
        </w:rPr>
        <w:t xml:space="preserve">and </w:t>
      </w:r>
      <w:r w:rsidRPr="00262CF4">
        <w:rPr>
          <w:rFonts w:cs="Arial"/>
          <w:color w:val="000000" w:themeColor="text1"/>
          <w:szCs w:val="22"/>
        </w:rPr>
        <w:t xml:space="preserve">concentration </w:t>
      </w:r>
      <w:r w:rsidR="00B2438E">
        <w:rPr>
          <w:rFonts w:cs="Arial"/>
          <w:color w:val="000000" w:themeColor="text1"/>
          <w:szCs w:val="22"/>
        </w:rPr>
        <w:t>levels in the edible part of the plant</w:t>
      </w:r>
      <w:r w:rsidRPr="00262CF4">
        <w:rPr>
          <w:rFonts w:cs="Arial"/>
          <w:color w:val="000000" w:themeColor="text1"/>
          <w:szCs w:val="22"/>
        </w:rPr>
        <w:t xml:space="preserve"> is required. It is also important to determine if the newly expressed protein is expressed in the plant as expected, including whether any post-translational modifications have occurred. </w:t>
      </w:r>
    </w:p>
    <w:p w14:paraId="292044E9" w14:textId="616D251A" w:rsidR="003F1F24" w:rsidRPr="00221257" w:rsidRDefault="003F1F24" w:rsidP="008928DE">
      <w:pPr>
        <w:pStyle w:val="Heading2"/>
      </w:pPr>
      <w:bookmarkStart w:id="141" w:name="_Toc482255824"/>
      <w:bookmarkStart w:id="142" w:name="_Toc496169788"/>
      <w:bookmarkStart w:id="143" w:name="_Toc34830893"/>
      <w:r w:rsidRPr="00221257">
        <w:t>4.1</w:t>
      </w:r>
      <w:r w:rsidRPr="00221257">
        <w:tab/>
        <w:t xml:space="preserve">Description of the </w:t>
      </w:r>
      <w:r w:rsidR="004D504D" w:rsidRPr="00221257">
        <w:t>Cry14Ab1</w:t>
      </w:r>
      <w:r w:rsidRPr="00221257">
        <w:t xml:space="preserve"> protein</w:t>
      </w:r>
      <w:bookmarkEnd w:id="141"/>
      <w:bookmarkEnd w:id="142"/>
      <w:bookmarkEnd w:id="143"/>
    </w:p>
    <w:p w14:paraId="250054C9" w14:textId="5009C394" w:rsidR="003F1F24" w:rsidRDefault="003F1F24" w:rsidP="003F1F24">
      <w:pPr>
        <w:rPr>
          <w:rFonts w:cs="Arial"/>
          <w:szCs w:val="22"/>
          <w:lang w:eastAsia="en-GB" w:bidi="ar-SA"/>
        </w:rPr>
      </w:pPr>
      <w:r w:rsidRPr="00C7257C">
        <w:rPr>
          <w:rFonts w:cs="Arial"/>
          <w:szCs w:val="22"/>
          <w:lang w:eastAsia="en-GB" w:bidi="ar-SA"/>
        </w:rPr>
        <w:t>Cry</w:t>
      </w:r>
      <w:r>
        <w:rPr>
          <w:rFonts w:cs="Arial"/>
          <w:szCs w:val="22"/>
          <w:lang w:eastAsia="en-GB" w:bidi="ar-SA"/>
        </w:rPr>
        <w:t>14</w:t>
      </w:r>
      <w:r w:rsidRPr="00C7257C">
        <w:rPr>
          <w:rFonts w:cs="Arial"/>
          <w:szCs w:val="22"/>
          <w:lang w:eastAsia="en-GB" w:bidi="ar-SA"/>
        </w:rPr>
        <w:t>A</w:t>
      </w:r>
      <w:r>
        <w:rPr>
          <w:rFonts w:cs="Arial"/>
          <w:szCs w:val="22"/>
          <w:lang w:eastAsia="en-GB" w:bidi="ar-SA"/>
        </w:rPr>
        <w:t>b1</w:t>
      </w:r>
      <w:r w:rsidRPr="00C7257C">
        <w:rPr>
          <w:rFonts w:cs="Arial"/>
          <w:szCs w:val="22"/>
          <w:lang w:eastAsia="en-GB" w:bidi="ar-SA"/>
        </w:rPr>
        <w:t xml:space="preserve"> is a member of the crystal</w:t>
      </w:r>
      <w:r>
        <w:rPr>
          <w:rFonts w:cs="Arial"/>
          <w:szCs w:val="22"/>
          <w:lang w:eastAsia="en-GB" w:bidi="ar-SA"/>
        </w:rPr>
        <w:t xml:space="preserve"> (Cry)</w:t>
      </w:r>
      <w:r w:rsidRPr="00C7257C">
        <w:rPr>
          <w:rFonts w:cs="Arial"/>
          <w:szCs w:val="22"/>
          <w:lang w:eastAsia="en-GB" w:bidi="ar-SA"/>
        </w:rPr>
        <w:t xml:space="preserve"> family of </w:t>
      </w:r>
      <w:r w:rsidR="00FB54A8">
        <w:rPr>
          <w:rFonts w:cs="Arial"/>
          <w:szCs w:val="22"/>
          <w:lang w:eastAsia="en-GB" w:bidi="ar-SA"/>
        </w:rPr>
        <w:t xml:space="preserve">pore-forming </w:t>
      </w:r>
      <w:r w:rsidRPr="00C7257C">
        <w:rPr>
          <w:rFonts w:cs="Arial"/>
          <w:szCs w:val="22"/>
          <w:lang w:eastAsia="en-GB" w:bidi="ar-SA"/>
        </w:rPr>
        <w:t xml:space="preserve">proteins produced by </w:t>
      </w:r>
      <w:r w:rsidRPr="00C7257C">
        <w:rPr>
          <w:rFonts w:cs="Arial"/>
          <w:i/>
          <w:szCs w:val="22"/>
          <w:lang w:eastAsia="en-GB" w:bidi="ar-SA"/>
        </w:rPr>
        <w:t>B.</w:t>
      </w:r>
      <w:r>
        <w:rPr>
          <w:rFonts w:cs="Arial"/>
          <w:i/>
          <w:szCs w:val="22"/>
          <w:lang w:eastAsia="en-GB" w:bidi="ar-SA"/>
        </w:rPr>
        <w:t> </w:t>
      </w:r>
      <w:r w:rsidRPr="00C7257C">
        <w:rPr>
          <w:rFonts w:cs="Arial"/>
          <w:i/>
          <w:szCs w:val="22"/>
          <w:lang w:eastAsia="en-GB" w:bidi="ar-SA"/>
        </w:rPr>
        <w:t>thuringiensis</w:t>
      </w:r>
      <w:r>
        <w:rPr>
          <w:rFonts w:cs="Arial"/>
          <w:i/>
          <w:szCs w:val="22"/>
          <w:lang w:eastAsia="en-GB" w:bidi="ar-SA"/>
        </w:rPr>
        <w:t>.</w:t>
      </w:r>
      <w:r w:rsidRPr="00C7257C">
        <w:rPr>
          <w:rFonts w:cs="Arial"/>
          <w:szCs w:val="22"/>
          <w:lang w:eastAsia="en-GB" w:bidi="ar-SA"/>
        </w:rPr>
        <w:t xml:space="preserve"> </w:t>
      </w:r>
      <w:r>
        <w:rPr>
          <w:rFonts w:cs="Arial"/>
          <w:szCs w:val="22"/>
          <w:lang w:eastAsia="en-GB" w:bidi="ar-SA"/>
        </w:rPr>
        <w:t xml:space="preserve">Cry proteins are contact pesticides, requiring ingestion by the target pest </w:t>
      </w:r>
      <w:r w:rsidRPr="00594BCE">
        <w:rPr>
          <w:rFonts w:cs="Arial"/>
          <w:szCs w:val="22"/>
          <w:lang w:eastAsia="en-GB" w:bidi="ar-SA"/>
        </w:rPr>
        <w:t xml:space="preserve">and passage </w:t>
      </w:r>
      <w:r w:rsidR="00A3160A">
        <w:rPr>
          <w:rFonts w:cs="Arial"/>
          <w:szCs w:val="22"/>
          <w:lang w:eastAsia="en-GB" w:bidi="ar-SA"/>
        </w:rPr>
        <w:t>into the digestive system</w:t>
      </w:r>
      <w:r w:rsidRPr="00594BCE">
        <w:rPr>
          <w:rFonts w:cs="Arial"/>
          <w:szCs w:val="22"/>
          <w:lang w:eastAsia="en-GB" w:bidi="ar-SA"/>
        </w:rPr>
        <w:t xml:space="preserve"> in order to function (Jurat-Fuentes and Crickmore, 2017). </w:t>
      </w:r>
      <w:r w:rsidR="00A3160A" w:rsidRPr="00A3160A">
        <w:rPr>
          <w:rFonts w:cs="Arial"/>
          <w:szCs w:val="22"/>
          <w:lang w:eastAsia="en-GB" w:bidi="ar-SA"/>
        </w:rPr>
        <w:t>For</w:t>
      </w:r>
      <w:r w:rsidR="00271146" w:rsidRPr="00A3160A">
        <w:rPr>
          <w:rFonts w:cs="Arial"/>
          <w:szCs w:val="22"/>
          <w:lang w:eastAsia="en-GB" w:bidi="ar-SA"/>
        </w:rPr>
        <w:t xml:space="preserve"> nematocidal Cry proteins</w:t>
      </w:r>
      <w:r w:rsidR="00A3160A" w:rsidRPr="00A3160A">
        <w:rPr>
          <w:rFonts w:cs="Arial"/>
          <w:szCs w:val="22"/>
          <w:lang w:eastAsia="en-GB" w:bidi="ar-SA"/>
        </w:rPr>
        <w:t>, passage into the in</w:t>
      </w:r>
      <w:r w:rsidR="00390773">
        <w:rPr>
          <w:rFonts w:cs="Arial"/>
          <w:szCs w:val="22"/>
          <w:lang w:eastAsia="en-GB" w:bidi="ar-SA"/>
        </w:rPr>
        <w:t xml:space="preserve">testine of susceptible </w:t>
      </w:r>
      <w:r w:rsidR="008F3A52">
        <w:rPr>
          <w:rFonts w:cs="Arial"/>
          <w:szCs w:val="22"/>
          <w:lang w:eastAsia="en-GB" w:bidi="ar-SA"/>
        </w:rPr>
        <w:t xml:space="preserve">nematodes </w:t>
      </w:r>
      <w:r w:rsidR="00390773">
        <w:rPr>
          <w:rFonts w:cs="Arial"/>
          <w:szCs w:val="22"/>
          <w:lang w:eastAsia="en-GB" w:bidi="ar-SA"/>
        </w:rPr>
        <w:t>results in</w:t>
      </w:r>
      <w:r w:rsidR="00A3160A" w:rsidRPr="00A3160A">
        <w:rPr>
          <w:rFonts w:cs="Arial"/>
          <w:szCs w:val="22"/>
          <w:lang w:eastAsia="en-GB" w:bidi="ar-SA"/>
        </w:rPr>
        <w:t xml:space="preserve"> degeneration and shrinking of the intestines</w:t>
      </w:r>
      <w:r w:rsidR="00390773">
        <w:rPr>
          <w:rFonts w:cs="Arial"/>
          <w:szCs w:val="22"/>
          <w:lang w:eastAsia="en-GB" w:bidi="ar-SA"/>
        </w:rPr>
        <w:t>,</w:t>
      </w:r>
      <w:r w:rsidR="00271146" w:rsidRPr="00A3160A">
        <w:rPr>
          <w:rFonts w:cs="Arial"/>
          <w:szCs w:val="22"/>
          <w:lang w:eastAsia="en-GB" w:bidi="ar-SA"/>
        </w:rPr>
        <w:t xml:space="preserve"> </w:t>
      </w:r>
      <w:r w:rsidR="00A3160A" w:rsidRPr="00A3160A">
        <w:rPr>
          <w:rFonts w:cs="Arial"/>
          <w:szCs w:val="22"/>
          <w:lang w:eastAsia="en-GB" w:bidi="ar-SA"/>
        </w:rPr>
        <w:t>leading to developmental delays</w:t>
      </w:r>
      <w:r w:rsidR="000F1E97">
        <w:rPr>
          <w:rFonts w:cs="Arial"/>
          <w:szCs w:val="22"/>
          <w:lang w:eastAsia="en-GB" w:bidi="ar-SA"/>
        </w:rPr>
        <w:t>, interruptions to reproduction</w:t>
      </w:r>
      <w:r w:rsidR="00A3160A" w:rsidRPr="00A3160A">
        <w:rPr>
          <w:rFonts w:cs="Arial"/>
          <w:szCs w:val="22"/>
          <w:lang w:eastAsia="en-GB" w:bidi="ar-SA"/>
        </w:rPr>
        <w:t xml:space="preserve"> and death</w:t>
      </w:r>
      <w:r w:rsidR="00A3160A">
        <w:rPr>
          <w:rFonts w:cs="Arial"/>
          <w:szCs w:val="22"/>
          <w:lang w:eastAsia="en-GB" w:bidi="ar-SA"/>
        </w:rPr>
        <w:t xml:space="preserve"> (</w:t>
      </w:r>
      <w:r w:rsidR="00390773">
        <w:rPr>
          <w:rFonts w:cs="Arial"/>
          <w:szCs w:val="22"/>
          <w:lang w:eastAsia="en-GB" w:bidi="ar-SA"/>
        </w:rPr>
        <w:t>Marroquin et al. 2000; Wei et al. 2003)</w:t>
      </w:r>
      <w:r w:rsidR="00A3160A" w:rsidRPr="00A3160A">
        <w:rPr>
          <w:rFonts w:cs="Arial"/>
          <w:szCs w:val="22"/>
          <w:lang w:eastAsia="en-GB" w:bidi="ar-SA"/>
        </w:rPr>
        <w:t xml:space="preserve">. </w:t>
      </w:r>
      <w:r w:rsidR="00390773">
        <w:rPr>
          <w:rFonts w:cs="Arial"/>
          <w:szCs w:val="22"/>
          <w:lang w:eastAsia="en-GB" w:bidi="ar-SA"/>
        </w:rPr>
        <w:t>How the nematocidal toxins bind to intestinal cells to mediate the</w:t>
      </w:r>
      <w:r w:rsidR="005E6B11">
        <w:rPr>
          <w:rFonts w:cs="Arial"/>
          <w:szCs w:val="22"/>
          <w:lang w:eastAsia="en-GB" w:bidi="ar-SA"/>
        </w:rPr>
        <w:t>se</w:t>
      </w:r>
      <w:r w:rsidR="00390773">
        <w:rPr>
          <w:rFonts w:cs="Arial"/>
          <w:szCs w:val="22"/>
          <w:lang w:eastAsia="en-GB" w:bidi="ar-SA"/>
        </w:rPr>
        <w:t xml:space="preserve"> effects has not been fully elucidated but </w:t>
      </w:r>
      <w:r w:rsidR="005E6B11">
        <w:rPr>
          <w:rFonts w:cs="Arial"/>
          <w:szCs w:val="22"/>
          <w:lang w:eastAsia="en-GB" w:bidi="ar-SA"/>
        </w:rPr>
        <w:t>some evidence suggests glycolipid receptors may be important (Marroquin et al. 2000; Griffitts et al. 2005).</w:t>
      </w:r>
      <w:r w:rsidR="00390773">
        <w:rPr>
          <w:rFonts w:cs="Arial"/>
          <w:szCs w:val="22"/>
          <w:lang w:eastAsia="en-GB" w:bidi="ar-SA"/>
        </w:rPr>
        <w:t xml:space="preserve"> </w:t>
      </w:r>
      <w:r w:rsidRPr="00A3160A">
        <w:rPr>
          <w:rFonts w:cs="Arial"/>
          <w:szCs w:val="22"/>
          <w:lang w:eastAsia="en-GB" w:bidi="ar-SA"/>
        </w:rPr>
        <w:t xml:space="preserve">The </w:t>
      </w:r>
      <w:r w:rsidR="004D504D">
        <w:rPr>
          <w:rFonts w:cs="Arial"/>
          <w:szCs w:val="22"/>
          <w:lang w:eastAsia="en-GB" w:bidi="ar-SA"/>
        </w:rPr>
        <w:t xml:space="preserve">actual </w:t>
      </w:r>
      <w:r w:rsidR="005E6B11">
        <w:rPr>
          <w:rFonts w:cs="Arial"/>
          <w:szCs w:val="22"/>
          <w:lang w:eastAsia="en-GB" w:bidi="ar-SA"/>
        </w:rPr>
        <w:t>mechanism of how</w:t>
      </w:r>
      <w:r w:rsidRPr="00A3160A">
        <w:rPr>
          <w:rFonts w:cs="Arial"/>
          <w:szCs w:val="22"/>
          <w:lang w:eastAsia="en-GB" w:bidi="ar-SA"/>
        </w:rPr>
        <w:t xml:space="preserve"> </w:t>
      </w:r>
      <w:r w:rsidR="004D504D">
        <w:rPr>
          <w:rFonts w:cs="Arial"/>
          <w:szCs w:val="22"/>
          <w:lang w:eastAsia="en-GB" w:bidi="ar-SA"/>
        </w:rPr>
        <w:t>Cry14Ab1</w:t>
      </w:r>
      <w:r w:rsidRPr="00A3160A">
        <w:rPr>
          <w:rFonts w:cs="Arial"/>
          <w:szCs w:val="22"/>
          <w:lang w:eastAsia="en-GB" w:bidi="ar-SA"/>
        </w:rPr>
        <w:t xml:space="preserve"> ac</w:t>
      </w:r>
      <w:r w:rsidR="0052049D">
        <w:rPr>
          <w:rFonts w:cs="Arial"/>
          <w:szCs w:val="22"/>
          <w:lang w:eastAsia="en-GB" w:bidi="ar-SA"/>
        </w:rPr>
        <w:t>ts has not yet been determined.</w:t>
      </w:r>
    </w:p>
    <w:p w14:paraId="21A0D923" w14:textId="4A2D50E8" w:rsidR="00303C07" w:rsidRDefault="00303C07" w:rsidP="003F1F24">
      <w:pPr>
        <w:rPr>
          <w:rFonts w:cs="Arial"/>
          <w:szCs w:val="22"/>
          <w:lang w:eastAsia="en-GB" w:bidi="ar-SA"/>
        </w:rPr>
      </w:pPr>
    </w:p>
    <w:p w14:paraId="1EB12D97" w14:textId="1271FA19" w:rsidR="00303C07" w:rsidRPr="00FB584D" w:rsidRDefault="00303C07" w:rsidP="00303C07">
      <w:r>
        <w:rPr>
          <w:color w:val="000000" w:themeColor="text1"/>
        </w:rPr>
        <w:t xml:space="preserve">There is a limited history of use of Cry14Ab1 in food but </w:t>
      </w:r>
      <w:r w:rsidRPr="00303C07">
        <w:rPr>
          <w:i/>
          <w:color w:val="000000" w:themeColor="text1"/>
        </w:rPr>
        <w:t>B. thuringiensis</w:t>
      </w:r>
      <w:r>
        <w:rPr>
          <w:color w:val="000000" w:themeColor="text1"/>
        </w:rPr>
        <w:t xml:space="preserve"> has a long history of use in agriculture. This use in agriculture mean humans have been exposed to over a hundred different Cry proteins, each with their own primary structure yet high similarities in secondary and tertiary structure, without adverse effects.</w:t>
      </w:r>
    </w:p>
    <w:p w14:paraId="18C16675" w14:textId="77777777" w:rsidR="003F1F24" w:rsidRPr="00331FBC" w:rsidRDefault="003F1F24" w:rsidP="003F1F24">
      <w:pPr>
        <w:rPr>
          <w:rFonts w:cs="Arial"/>
          <w:szCs w:val="22"/>
          <w:highlight w:val="yellow"/>
          <w:lang w:eastAsia="en-GB" w:bidi="ar-SA"/>
        </w:rPr>
      </w:pPr>
    </w:p>
    <w:p w14:paraId="411B9368" w14:textId="7B6F71CF" w:rsidR="003F1F24" w:rsidRPr="00B6355D" w:rsidRDefault="003F1F24" w:rsidP="00DB7611">
      <w:pPr>
        <w:rPr>
          <w:lang w:eastAsia="en-GB"/>
        </w:rPr>
      </w:pPr>
      <w:r w:rsidRPr="00A15BC1">
        <w:rPr>
          <w:lang w:eastAsia="en-GB"/>
        </w:rPr>
        <w:t xml:space="preserve">The </w:t>
      </w:r>
      <w:r w:rsidRPr="00A15BC1">
        <w:rPr>
          <w:i/>
          <w:lang w:eastAsia="en-GB"/>
        </w:rPr>
        <w:t>Cry</w:t>
      </w:r>
      <w:r w:rsidR="00A15BC1" w:rsidRPr="00A15BC1">
        <w:rPr>
          <w:i/>
          <w:lang w:eastAsia="en-GB"/>
        </w:rPr>
        <w:t>14</w:t>
      </w:r>
      <w:r w:rsidRPr="00A15BC1">
        <w:rPr>
          <w:i/>
          <w:lang w:eastAsia="en-GB"/>
        </w:rPr>
        <w:t>A</w:t>
      </w:r>
      <w:r w:rsidR="00A15BC1" w:rsidRPr="00A15BC1">
        <w:rPr>
          <w:i/>
          <w:lang w:eastAsia="en-GB"/>
        </w:rPr>
        <w:t>b-1.b</w:t>
      </w:r>
      <w:r w:rsidRPr="00A15BC1">
        <w:rPr>
          <w:i/>
          <w:lang w:eastAsia="en-GB"/>
        </w:rPr>
        <w:t xml:space="preserve"> </w:t>
      </w:r>
      <w:r w:rsidRPr="00A15BC1">
        <w:rPr>
          <w:lang w:eastAsia="en-GB"/>
        </w:rPr>
        <w:t xml:space="preserve">gene prepared by the </w:t>
      </w:r>
      <w:r w:rsidR="005934BB">
        <w:rPr>
          <w:lang w:eastAsia="en-GB"/>
        </w:rPr>
        <w:t>applicant</w:t>
      </w:r>
      <w:r w:rsidRPr="00A15BC1">
        <w:rPr>
          <w:lang w:eastAsia="en-GB"/>
        </w:rPr>
        <w:t xml:space="preserve"> encodes a protein of </w:t>
      </w:r>
      <w:r w:rsidR="00A15BC1" w:rsidRPr="00A15BC1">
        <w:rPr>
          <w:lang w:eastAsia="en-GB"/>
        </w:rPr>
        <w:t>1185</w:t>
      </w:r>
      <w:r w:rsidRPr="00A15BC1">
        <w:rPr>
          <w:lang w:eastAsia="en-GB"/>
        </w:rPr>
        <w:t xml:space="preserve"> amino acids</w:t>
      </w:r>
      <w:r w:rsidR="00A15BC1" w:rsidRPr="00A15BC1">
        <w:rPr>
          <w:lang w:eastAsia="en-GB"/>
        </w:rPr>
        <w:t>,</w:t>
      </w:r>
      <w:r w:rsidRPr="00A15BC1">
        <w:rPr>
          <w:lang w:eastAsia="en-GB"/>
        </w:rPr>
        <w:t xml:space="preserve"> with </w:t>
      </w:r>
      <w:r w:rsidR="005E6B11">
        <w:rPr>
          <w:lang w:eastAsia="en-GB"/>
        </w:rPr>
        <w:t>an expected mass</w:t>
      </w:r>
      <w:r w:rsidRPr="00A15BC1">
        <w:rPr>
          <w:lang w:eastAsia="en-GB"/>
        </w:rPr>
        <w:t xml:space="preserve"> of </w:t>
      </w:r>
      <w:r w:rsidR="00FD4DA2">
        <w:rPr>
          <w:lang w:eastAsia="en-GB"/>
        </w:rPr>
        <w:t>131.5 kD</w:t>
      </w:r>
      <w:r w:rsidRPr="00A15BC1">
        <w:rPr>
          <w:lang w:eastAsia="en-GB"/>
        </w:rPr>
        <w:t>a.</w:t>
      </w:r>
    </w:p>
    <w:p w14:paraId="66C56BB9" w14:textId="30061C24" w:rsidR="00331FBC" w:rsidRDefault="00331FBC" w:rsidP="00221257">
      <w:pPr>
        <w:pStyle w:val="Heading3"/>
      </w:pPr>
      <w:bookmarkStart w:id="144" w:name="_4.1.1_Characterisation_of"/>
      <w:bookmarkStart w:id="145" w:name="_Toc482255826"/>
      <w:bookmarkStart w:id="146" w:name="_Toc489531036"/>
      <w:bookmarkStart w:id="147" w:name="_Toc491439837"/>
      <w:bookmarkStart w:id="148" w:name="_Toc493515867"/>
      <w:bookmarkStart w:id="149" w:name="_Toc495489337"/>
      <w:bookmarkStart w:id="150" w:name="_Toc496169790"/>
      <w:bookmarkStart w:id="151" w:name="_Toc500321348"/>
      <w:bookmarkStart w:id="152" w:name="_Toc34824985"/>
      <w:bookmarkEnd w:id="144"/>
      <w:r w:rsidRPr="00262CF4">
        <w:t>4.</w:t>
      </w:r>
      <w:r>
        <w:t>1.</w:t>
      </w:r>
      <w:r w:rsidR="004028B2">
        <w:t>1</w:t>
      </w:r>
      <w:r w:rsidRPr="00262CF4">
        <w:tab/>
        <w:t xml:space="preserve">Characterisation of </w:t>
      </w:r>
      <w:r w:rsidR="004D504D">
        <w:t>Cry14Ab1</w:t>
      </w:r>
      <w:r>
        <w:t xml:space="preserve"> expressed</w:t>
      </w:r>
      <w:r w:rsidRPr="00262CF4">
        <w:t xml:space="preserve"> in </w:t>
      </w:r>
      <w:r>
        <w:t>GMB151</w:t>
      </w:r>
      <w:r w:rsidRPr="00262CF4">
        <w:t xml:space="preserve"> </w:t>
      </w:r>
      <w:r>
        <w:t>and</w:t>
      </w:r>
      <w:r w:rsidRPr="00262CF4">
        <w:t xml:space="preserve"> equivalence </w:t>
      </w:r>
      <w:r>
        <w:t>to</w:t>
      </w:r>
      <w:r w:rsidRPr="00262CF4">
        <w:t xml:space="preserve"> bacterially-produced forms</w:t>
      </w:r>
      <w:bookmarkEnd w:id="145"/>
      <w:bookmarkEnd w:id="146"/>
      <w:bookmarkEnd w:id="147"/>
      <w:bookmarkEnd w:id="148"/>
      <w:bookmarkEnd w:id="149"/>
      <w:bookmarkEnd w:id="150"/>
      <w:bookmarkEnd w:id="151"/>
      <w:bookmarkEnd w:id="152"/>
    </w:p>
    <w:p w14:paraId="6C72F2A4" w14:textId="48E29613" w:rsidR="000704E6" w:rsidRDefault="00331FBC" w:rsidP="00331FBC">
      <w:pPr>
        <w:rPr>
          <w:lang w:eastAsia="en-AU" w:bidi="ar-SA"/>
        </w:rPr>
      </w:pPr>
      <w:r>
        <w:rPr>
          <w:lang w:eastAsia="en-AU" w:bidi="ar-SA"/>
        </w:rPr>
        <w:t xml:space="preserve">Protein was extracted from </w:t>
      </w:r>
      <w:r w:rsidR="00A15BC1">
        <w:rPr>
          <w:lang w:eastAsia="en-AU" w:bidi="ar-SA"/>
        </w:rPr>
        <w:t>approximately 3</w:t>
      </w:r>
      <w:r>
        <w:rPr>
          <w:lang w:eastAsia="en-AU" w:bidi="ar-SA"/>
        </w:rPr>
        <w:t xml:space="preserve">0 g ground </w:t>
      </w:r>
      <w:r w:rsidR="00A15BC1">
        <w:rPr>
          <w:lang w:eastAsia="en-AU" w:bidi="ar-SA"/>
        </w:rPr>
        <w:t>leaf material</w:t>
      </w:r>
      <w:r>
        <w:rPr>
          <w:lang w:eastAsia="en-AU" w:bidi="ar-SA"/>
        </w:rPr>
        <w:t xml:space="preserve"> </w:t>
      </w:r>
      <w:r w:rsidR="00174051">
        <w:rPr>
          <w:lang w:eastAsia="en-AU" w:bidi="ar-SA"/>
        </w:rPr>
        <w:t xml:space="preserve">from both GMB151 </w:t>
      </w:r>
      <w:r w:rsidR="00611F30">
        <w:rPr>
          <w:lang w:eastAsia="en-AU" w:bidi="ar-SA"/>
        </w:rPr>
        <w:t>(T</w:t>
      </w:r>
      <w:r w:rsidR="00611F30" w:rsidRPr="00611F30">
        <w:rPr>
          <w:vertAlign w:val="subscript"/>
          <w:lang w:eastAsia="en-AU" w:bidi="ar-SA"/>
        </w:rPr>
        <w:t>6</w:t>
      </w:r>
      <w:r w:rsidR="00611F30">
        <w:rPr>
          <w:lang w:eastAsia="en-AU" w:bidi="ar-SA"/>
        </w:rPr>
        <w:t xml:space="preserve">) </w:t>
      </w:r>
      <w:r w:rsidR="00174051">
        <w:rPr>
          <w:lang w:eastAsia="en-AU" w:bidi="ar-SA"/>
        </w:rPr>
        <w:t>and the Thorne parental control. A</w:t>
      </w:r>
      <w:r>
        <w:rPr>
          <w:lang w:eastAsia="en-AU" w:bidi="ar-SA"/>
        </w:rPr>
        <w:t>ffinity chromatography</w:t>
      </w:r>
      <w:r w:rsidR="00174051">
        <w:rPr>
          <w:lang w:eastAsia="en-AU" w:bidi="ar-SA"/>
        </w:rPr>
        <w:t xml:space="preserve"> was performed to isolate any fraction that bound to a </w:t>
      </w:r>
      <w:r w:rsidR="004D504D">
        <w:rPr>
          <w:lang w:eastAsia="en-AU" w:bidi="ar-SA"/>
        </w:rPr>
        <w:t>Cry14Ab1</w:t>
      </w:r>
      <w:r w:rsidR="00174051">
        <w:rPr>
          <w:lang w:eastAsia="en-AU" w:bidi="ar-SA"/>
        </w:rPr>
        <w:t xml:space="preserve"> antibody</w:t>
      </w:r>
      <w:r>
        <w:rPr>
          <w:lang w:eastAsia="en-AU" w:bidi="ar-SA"/>
        </w:rPr>
        <w:t xml:space="preserve">. Aliquots of purified protein were run on SDS-PAGE </w:t>
      </w:r>
      <w:r w:rsidR="00682901">
        <w:rPr>
          <w:lang w:eastAsia="en-AU" w:bidi="ar-SA"/>
        </w:rPr>
        <w:t>and</w:t>
      </w:r>
      <w:r>
        <w:rPr>
          <w:lang w:eastAsia="en-AU" w:bidi="ar-SA"/>
        </w:rPr>
        <w:t xml:space="preserve"> visualised with </w:t>
      </w:r>
      <w:r w:rsidR="00682901">
        <w:rPr>
          <w:lang w:eastAsia="en-AU" w:bidi="ar-SA"/>
        </w:rPr>
        <w:t>Coomassie</w:t>
      </w:r>
      <w:r w:rsidRPr="005A44D2">
        <w:rPr>
          <w:lang w:eastAsia="en-AU" w:bidi="ar-SA"/>
        </w:rPr>
        <w:t xml:space="preserve"> stain</w:t>
      </w:r>
      <w:r w:rsidR="00682901">
        <w:rPr>
          <w:lang w:eastAsia="en-AU" w:bidi="ar-SA"/>
        </w:rPr>
        <w:t xml:space="preserve">. A sample gel </w:t>
      </w:r>
      <w:r w:rsidR="00174051">
        <w:rPr>
          <w:lang w:eastAsia="en-AU" w:bidi="ar-SA"/>
        </w:rPr>
        <w:t xml:space="preserve">was presented and the results showed a clear band in the </w:t>
      </w:r>
      <w:r w:rsidR="00AA7A6A">
        <w:rPr>
          <w:lang w:eastAsia="en-AU" w:bidi="ar-SA"/>
        </w:rPr>
        <w:t>GMB151 lane with</w:t>
      </w:r>
      <w:r>
        <w:rPr>
          <w:lang w:eastAsia="en-AU" w:bidi="ar-SA"/>
        </w:rPr>
        <w:t xml:space="preserve"> </w:t>
      </w:r>
      <w:r w:rsidR="00AA7A6A">
        <w:rPr>
          <w:lang w:eastAsia="en-AU" w:bidi="ar-SA"/>
        </w:rPr>
        <w:t>a</w:t>
      </w:r>
      <w:r>
        <w:rPr>
          <w:lang w:eastAsia="en-AU" w:bidi="ar-SA"/>
        </w:rPr>
        <w:t xml:space="preserve"> molecular mass </w:t>
      </w:r>
      <w:r w:rsidR="000704E6">
        <w:rPr>
          <w:lang w:eastAsia="en-AU" w:bidi="ar-SA"/>
        </w:rPr>
        <w:t>between</w:t>
      </w:r>
      <w:r w:rsidR="00682901">
        <w:rPr>
          <w:lang w:eastAsia="en-AU" w:bidi="ar-SA"/>
        </w:rPr>
        <w:t xml:space="preserve"> 117</w:t>
      </w:r>
      <w:r w:rsidR="000704E6">
        <w:rPr>
          <w:lang w:eastAsia="en-AU" w:bidi="ar-SA"/>
        </w:rPr>
        <w:t>-200</w:t>
      </w:r>
      <w:r>
        <w:rPr>
          <w:lang w:eastAsia="en-AU" w:bidi="ar-SA"/>
        </w:rPr>
        <w:t> kDa</w:t>
      </w:r>
      <w:r w:rsidR="000704E6">
        <w:rPr>
          <w:lang w:eastAsia="en-AU" w:bidi="ar-SA"/>
        </w:rPr>
        <w:t>.</w:t>
      </w:r>
      <w:r>
        <w:rPr>
          <w:lang w:eastAsia="en-AU" w:bidi="ar-SA"/>
        </w:rPr>
        <w:t xml:space="preserve"> </w:t>
      </w:r>
      <w:r w:rsidR="00AA7A6A">
        <w:rPr>
          <w:lang w:eastAsia="en-AU" w:bidi="ar-SA"/>
        </w:rPr>
        <w:t xml:space="preserve">There was no equivalent band in the parental control lane. </w:t>
      </w:r>
      <w:r>
        <w:rPr>
          <w:lang w:eastAsia="en-AU" w:bidi="ar-SA"/>
        </w:rPr>
        <w:t xml:space="preserve">Western blot analysis </w:t>
      </w:r>
      <w:r w:rsidR="000704E6">
        <w:rPr>
          <w:lang w:eastAsia="en-AU" w:bidi="ar-SA"/>
        </w:rPr>
        <w:t>confirme</w:t>
      </w:r>
      <w:r>
        <w:rPr>
          <w:lang w:eastAsia="en-AU" w:bidi="ar-SA"/>
        </w:rPr>
        <w:t xml:space="preserve">d that the protein </w:t>
      </w:r>
      <w:r w:rsidR="00AA7A6A">
        <w:rPr>
          <w:lang w:eastAsia="en-AU" w:bidi="ar-SA"/>
        </w:rPr>
        <w:t xml:space="preserve">in GMB151 </w:t>
      </w:r>
      <w:r>
        <w:rPr>
          <w:lang w:eastAsia="en-AU" w:bidi="ar-SA"/>
        </w:rPr>
        <w:t xml:space="preserve">was immunoreactive to a </w:t>
      </w:r>
      <w:r w:rsidR="004D504D">
        <w:rPr>
          <w:lang w:eastAsia="en-AU" w:bidi="ar-SA"/>
        </w:rPr>
        <w:t>Cry14Ab1</w:t>
      </w:r>
      <w:r>
        <w:rPr>
          <w:lang w:eastAsia="en-AU" w:bidi="ar-SA"/>
        </w:rPr>
        <w:t>-specific antibody</w:t>
      </w:r>
      <w:r w:rsidR="000704E6">
        <w:rPr>
          <w:lang w:eastAsia="en-AU" w:bidi="ar-SA"/>
        </w:rPr>
        <w:t>, with a size range between 100-150 kDa</w:t>
      </w:r>
      <w:r>
        <w:rPr>
          <w:lang w:eastAsia="en-AU" w:bidi="ar-SA"/>
        </w:rPr>
        <w:t xml:space="preserve">. </w:t>
      </w:r>
      <w:r w:rsidR="000704E6">
        <w:rPr>
          <w:lang w:eastAsia="en-AU" w:bidi="ar-SA"/>
        </w:rPr>
        <w:t xml:space="preserve">The data from the gel analyses places the mass of the protein in the expected range of </w:t>
      </w:r>
      <w:r w:rsidR="006D5128">
        <w:rPr>
          <w:lang w:eastAsia="en-AU" w:bidi="ar-SA"/>
        </w:rPr>
        <w:t>117-150 kDa</w:t>
      </w:r>
      <w:r w:rsidR="000704E6">
        <w:rPr>
          <w:lang w:eastAsia="en-AU" w:bidi="ar-SA"/>
        </w:rPr>
        <w:t>.</w:t>
      </w:r>
    </w:p>
    <w:p w14:paraId="6E14C777" w14:textId="77777777" w:rsidR="000704E6" w:rsidRDefault="000704E6" w:rsidP="00331FBC">
      <w:pPr>
        <w:rPr>
          <w:lang w:eastAsia="en-AU" w:bidi="ar-SA"/>
        </w:rPr>
      </w:pPr>
    </w:p>
    <w:p w14:paraId="3EC28A19" w14:textId="42530E01" w:rsidR="00331FBC" w:rsidRDefault="00331FBC" w:rsidP="00331FBC">
      <w:pPr>
        <w:rPr>
          <w:lang w:eastAsia="en-AU" w:bidi="ar-SA"/>
        </w:rPr>
      </w:pPr>
      <w:r>
        <w:rPr>
          <w:lang w:eastAsia="en-AU" w:bidi="ar-SA"/>
        </w:rPr>
        <w:t xml:space="preserve">N-terminal sequencing </w:t>
      </w:r>
      <w:r w:rsidR="00174051">
        <w:rPr>
          <w:lang w:eastAsia="en-AU" w:bidi="ar-SA"/>
        </w:rPr>
        <w:t xml:space="preserve">identified </w:t>
      </w:r>
      <w:r w:rsidR="00B52CED">
        <w:rPr>
          <w:lang w:eastAsia="en-AU" w:bidi="ar-SA"/>
        </w:rPr>
        <w:t>13</w:t>
      </w:r>
      <w:r>
        <w:rPr>
          <w:lang w:eastAsia="en-AU" w:bidi="ar-SA"/>
        </w:rPr>
        <w:t xml:space="preserve"> amino acids </w:t>
      </w:r>
      <w:r w:rsidR="000F1E97">
        <w:rPr>
          <w:lang w:eastAsia="en-AU" w:bidi="ar-SA"/>
        </w:rPr>
        <w:t xml:space="preserve">that matched the expected sequence </w:t>
      </w:r>
      <w:r>
        <w:rPr>
          <w:lang w:eastAsia="en-AU" w:bidi="ar-SA"/>
        </w:rPr>
        <w:t>(</w:t>
      </w:r>
      <w:hyperlink w:anchor="Figure3" w:history="1">
        <w:r w:rsidRPr="00932B03">
          <w:rPr>
            <w:rStyle w:val="Hyperlink"/>
            <w:lang w:eastAsia="en-AU" w:bidi="ar-SA"/>
          </w:rPr>
          <w:t xml:space="preserve">Figure </w:t>
        </w:r>
        <w:r w:rsidR="006D5128" w:rsidRPr="00932B03">
          <w:rPr>
            <w:rStyle w:val="Hyperlink"/>
            <w:lang w:eastAsia="en-AU" w:bidi="ar-SA"/>
          </w:rPr>
          <w:t>3</w:t>
        </w:r>
      </w:hyperlink>
      <w:r w:rsidR="006D5128">
        <w:rPr>
          <w:lang w:eastAsia="en-AU" w:bidi="ar-SA"/>
        </w:rPr>
        <w:t>)</w:t>
      </w:r>
      <w:r w:rsidR="00AC78FB">
        <w:rPr>
          <w:lang w:eastAsia="en-AU" w:bidi="ar-SA"/>
        </w:rPr>
        <w:t xml:space="preserve">. Peptide mapping showed that the </w:t>
      </w:r>
      <w:r w:rsidR="00063C2C">
        <w:rPr>
          <w:lang w:eastAsia="en-AU" w:bidi="ar-SA"/>
        </w:rPr>
        <w:t xml:space="preserve">expressed </w:t>
      </w:r>
      <w:r w:rsidR="00AC78FB">
        <w:rPr>
          <w:lang w:eastAsia="en-AU" w:bidi="ar-SA"/>
        </w:rPr>
        <w:t>protein sequence matched the expected Cry14Ab1 sequence, with 71% sequence coverage achieved</w:t>
      </w:r>
      <w:r>
        <w:rPr>
          <w:lang w:eastAsia="en-AU" w:bidi="ar-SA"/>
        </w:rPr>
        <w:t xml:space="preserve"> (</w:t>
      </w:r>
      <w:hyperlink w:anchor="Figure3" w:history="1">
        <w:r w:rsidRPr="00932B03">
          <w:rPr>
            <w:rStyle w:val="Hyperlink"/>
            <w:lang w:eastAsia="en-AU" w:bidi="ar-SA"/>
          </w:rPr>
          <w:t xml:space="preserve">Figure </w:t>
        </w:r>
        <w:r w:rsidR="00723BB6" w:rsidRPr="00932B03">
          <w:rPr>
            <w:rStyle w:val="Hyperlink"/>
            <w:lang w:eastAsia="en-AU" w:bidi="ar-SA"/>
          </w:rPr>
          <w:t>3</w:t>
        </w:r>
      </w:hyperlink>
      <w:r>
        <w:rPr>
          <w:lang w:eastAsia="en-AU" w:bidi="ar-SA"/>
        </w:rPr>
        <w:t xml:space="preserve">). The protein </w:t>
      </w:r>
      <w:r w:rsidR="00AC78FB">
        <w:rPr>
          <w:lang w:eastAsia="en-AU" w:bidi="ar-SA"/>
        </w:rPr>
        <w:t>was shown by a modified Periodic Acid-Schiff staining procedure to be non-glycosylated.</w:t>
      </w:r>
    </w:p>
    <w:p w14:paraId="4229851A" w14:textId="7C4B6AB0" w:rsidR="00413BC4" w:rsidRDefault="00C242CA" w:rsidP="00331FBC">
      <w:pPr>
        <w:rPr>
          <w:lang w:eastAsia="en-AU" w:bidi="ar-SA"/>
        </w:rPr>
      </w:pPr>
      <w:r>
        <w:rPr>
          <w:noProof/>
          <w:lang w:eastAsia="en-GB" w:bidi="ar-SA"/>
        </w:rPr>
        <w:drawing>
          <wp:anchor distT="0" distB="0" distL="114300" distR="114300" simplePos="0" relativeHeight="251655680" behindDoc="0" locked="0" layoutInCell="1" allowOverlap="1" wp14:anchorId="5E770EAC" wp14:editId="2A747846">
            <wp:simplePos x="0" y="0"/>
            <wp:positionH relativeFrom="column">
              <wp:posOffset>483870</wp:posOffset>
            </wp:positionH>
            <wp:positionV relativeFrom="paragraph">
              <wp:posOffset>164465</wp:posOffset>
            </wp:positionV>
            <wp:extent cx="4533900" cy="2552065"/>
            <wp:effectExtent l="133350" t="133350" r="152400" b="172085"/>
            <wp:wrapNone/>
            <wp:docPr id="10" name="Picture 10" descr="Tryptic peptide map of the GMB151-produced Cry14Ab1 protein. The deduced amino acid sequence is 1185 amino acids. Boxed regions correspond to peptide sequence coverage achieved using MALDI-TOF MS. The blue coloured amino acids from position 1-13 were identified by N-terminal sequencing."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33900" cy="25520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03B4304" w14:textId="360BC32D" w:rsidR="00413BC4" w:rsidRDefault="00413BC4" w:rsidP="00331FBC">
      <w:pPr>
        <w:rPr>
          <w:lang w:eastAsia="en-AU" w:bidi="ar-SA"/>
        </w:rPr>
      </w:pPr>
    </w:p>
    <w:p w14:paraId="50BC103D" w14:textId="714C0D50" w:rsidR="00413BC4" w:rsidRDefault="00413BC4" w:rsidP="00331FBC">
      <w:pPr>
        <w:rPr>
          <w:lang w:eastAsia="en-AU" w:bidi="ar-SA"/>
        </w:rPr>
      </w:pPr>
    </w:p>
    <w:p w14:paraId="18CFF7CA" w14:textId="0C3DA955" w:rsidR="00413BC4" w:rsidRDefault="00413BC4" w:rsidP="00331FBC">
      <w:pPr>
        <w:rPr>
          <w:lang w:eastAsia="en-AU" w:bidi="ar-SA"/>
        </w:rPr>
      </w:pPr>
    </w:p>
    <w:p w14:paraId="41AC9387" w14:textId="2678D19C" w:rsidR="00413BC4" w:rsidRDefault="00413BC4" w:rsidP="00331FBC">
      <w:pPr>
        <w:rPr>
          <w:lang w:eastAsia="en-AU" w:bidi="ar-SA"/>
        </w:rPr>
      </w:pPr>
    </w:p>
    <w:p w14:paraId="040E209F" w14:textId="266C2490" w:rsidR="00413BC4" w:rsidRDefault="00413BC4" w:rsidP="00331FBC">
      <w:pPr>
        <w:rPr>
          <w:lang w:eastAsia="en-AU" w:bidi="ar-SA"/>
        </w:rPr>
      </w:pPr>
    </w:p>
    <w:p w14:paraId="579F1B8B" w14:textId="77777777" w:rsidR="00413BC4" w:rsidRDefault="00413BC4" w:rsidP="00331FBC">
      <w:pPr>
        <w:rPr>
          <w:lang w:eastAsia="en-AU" w:bidi="ar-SA"/>
        </w:rPr>
      </w:pPr>
    </w:p>
    <w:p w14:paraId="4ECA68C9" w14:textId="00ECC06D" w:rsidR="00413BC4" w:rsidRDefault="00413BC4" w:rsidP="00331FBC">
      <w:pPr>
        <w:rPr>
          <w:lang w:eastAsia="en-AU" w:bidi="ar-SA"/>
        </w:rPr>
      </w:pPr>
    </w:p>
    <w:p w14:paraId="75FACCA9" w14:textId="6782150F" w:rsidR="00413BC4" w:rsidRDefault="00413BC4" w:rsidP="00331FBC">
      <w:pPr>
        <w:rPr>
          <w:lang w:eastAsia="en-AU" w:bidi="ar-SA"/>
        </w:rPr>
      </w:pPr>
    </w:p>
    <w:p w14:paraId="4838BE84" w14:textId="77777777" w:rsidR="00331FBC" w:rsidRDefault="00331FBC" w:rsidP="00331FBC">
      <w:pPr>
        <w:rPr>
          <w:lang w:eastAsia="en-AU" w:bidi="ar-SA"/>
        </w:rPr>
      </w:pPr>
    </w:p>
    <w:p w14:paraId="071FCE1F" w14:textId="77777777" w:rsidR="00413BC4" w:rsidRDefault="00413BC4" w:rsidP="00331FBC">
      <w:pPr>
        <w:rPr>
          <w:lang w:eastAsia="en-AU" w:bidi="ar-SA"/>
        </w:rPr>
      </w:pPr>
    </w:p>
    <w:p w14:paraId="36CE12A7" w14:textId="77777777" w:rsidR="00413BC4" w:rsidRDefault="00413BC4" w:rsidP="00331FBC">
      <w:pPr>
        <w:rPr>
          <w:lang w:eastAsia="en-AU" w:bidi="ar-SA"/>
        </w:rPr>
      </w:pPr>
    </w:p>
    <w:p w14:paraId="6D634095" w14:textId="77777777" w:rsidR="00413BC4" w:rsidRDefault="00413BC4" w:rsidP="00331FBC">
      <w:pPr>
        <w:rPr>
          <w:lang w:eastAsia="en-AU" w:bidi="ar-SA"/>
        </w:rPr>
      </w:pPr>
    </w:p>
    <w:p w14:paraId="55E83A71" w14:textId="77777777" w:rsidR="00413BC4" w:rsidRDefault="00413BC4" w:rsidP="00331FBC">
      <w:pPr>
        <w:rPr>
          <w:lang w:eastAsia="en-AU" w:bidi="ar-SA"/>
        </w:rPr>
      </w:pPr>
    </w:p>
    <w:p w14:paraId="786A8868" w14:textId="77777777" w:rsidR="00413BC4" w:rsidRDefault="00413BC4" w:rsidP="00331FBC">
      <w:pPr>
        <w:rPr>
          <w:lang w:eastAsia="en-AU" w:bidi="ar-SA"/>
        </w:rPr>
      </w:pPr>
    </w:p>
    <w:p w14:paraId="188D27D8" w14:textId="77777777" w:rsidR="00413BC4" w:rsidRDefault="00413BC4" w:rsidP="00331FBC">
      <w:pPr>
        <w:rPr>
          <w:lang w:eastAsia="en-AU" w:bidi="ar-SA"/>
        </w:rPr>
      </w:pPr>
    </w:p>
    <w:p w14:paraId="5AEFFA33" w14:textId="77777777" w:rsidR="00413BC4" w:rsidRDefault="00413BC4" w:rsidP="00331FBC">
      <w:pPr>
        <w:rPr>
          <w:lang w:eastAsia="en-AU" w:bidi="ar-SA"/>
        </w:rPr>
      </w:pPr>
    </w:p>
    <w:p w14:paraId="4D7A9951" w14:textId="77777777" w:rsidR="00DA518B" w:rsidRDefault="00DA518B" w:rsidP="00E114DB">
      <w:pPr>
        <w:rPr>
          <w:i/>
        </w:rPr>
      </w:pPr>
      <w:bookmarkStart w:id="153" w:name="Figure3"/>
    </w:p>
    <w:p w14:paraId="3C701FB4" w14:textId="0948EB61" w:rsidR="00E114DB" w:rsidRDefault="006D5128" w:rsidP="00E114DB">
      <w:pPr>
        <w:rPr>
          <w:i/>
          <w:lang w:eastAsia="en-AU" w:bidi="ar-SA"/>
        </w:rPr>
      </w:pPr>
      <w:r w:rsidRPr="00D828CE">
        <w:rPr>
          <w:i/>
        </w:rPr>
        <w:t xml:space="preserve">Figure </w:t>
      </w:r>
      <w:r>
        <w:rPr>
          <w:i/>
        </w:rPr>
        <w:t>3</w:t>
      </w:r>
      <w:bookmarkEnd w:id="153"/>
      <w:r w:rsidR="00E114DB">
        <w:rPr>
          <w:i/>
        </w:rPr>
        <w:t>:</w:t>
      </w:r>
      <w:r w:rsidR="00E114DB" w:rsidRPr="004C21AE">
        <w:rPr>
          <w:i/>
          <w:lang w:eastAsia="en-AU" w:bidi="ar-SA"/>
        </w:rPr>
        <w:t xml:space="preserve"> Tryptic </w:t>
      </w:r>
      <w:r w:rsidR="00E114DB">
        <w:rPr>
          <w:i/>
          <w:lang w:eastAsia="en-AU" w:bidi="ar-SA"/>
        </w:rPr>
        <w:t>p</w:t>
      </w:r>
      <w:r w:rsidR="00E114DB" w:rsidRPr="004C21AE">
        <w:rPr>
          <w:i/>
          <w:lang w:eastAsia="en-AU" w:bidi="ar-SA"/>
        </w:rPr>
        <w:t xml:space="preserve">eptide </w:t>
      </w:r>
      <w:r w:rsidR="00E114DB">
        <w:rPr>
          <w:i/>
          <w:lang w:eastAsia="en-AU" w:bidi="ar-SA"/>
        </w:rPr>
        <w:t>m</w:t>
      </w:r>
      <w:r w:rsidR="00E114DB" w:rsidRPr="004C21AE">
        <w:rPr>
          <w:i/>
          <w:lang w:eastAsia="en-AU" w:bidi="ar-SA"/>
        </w:rPr>
        <w:t xml:space="preserve">ap of the </w:t>
      </w:r>
      <w:r w:rsidR="00E114DB">
        <w:rPr>
          <w:i/>
          <w:lang w:eastAsia="en-AU" w:bidi="ar-SA"/>
        </w:rPr>
        <w:t>GMB151</w:t>
      </w:r>
      <w:r w:rsidR="00E114DB" w:rsidRPr="004C21AE">
        <w:rPr>
          <w:i/>
          <w:lang w:eastAsia="en-AU" w:bidi="ar-SA"/>
        </w:rPr>
        <w:t xml:space="preserve">-produced </w:t>
      </w:r>
      <w:r w:rsidR="004D504D">
        <w:rPr>
          <w:i/>
          <w:lang w:eastAsia="en-AU" w:bidi="ar-SA"/>
        </w:rPr>
        <w:t>Cry14Ab1</w:t>
      </w:r>
      <w:r w:rsidR="00E114DB" w:rsidRPr="004C21AE">
        <w:rPr>
          <w:i/>
          <w:lang w:eastAsia="en-AU" w:bidi="ar-SA"/>
        </w:rPr>
        <w:t xml:space="preserve"> protein. The deduced amino acid sequence is </w:t>
      </w:r>
      <w:r w:rsidR="00E114DB">
        <w:rPr>
          <w:i/>
          <w:lang w:eastAsia="en-AU" w:bidi="ar-SA"/>
        </w:rPr>
        <w:t>1185</w:t>
      </w:r>
      <w:r w:rsidR="00E114DB" w:rsidRPr="004C21AE">
        <w:rPr>
          <w:i/>
          <w:lang w:eastAsia="en-AU" w:bidi="ar-SA"/>
        </w:rPr>
        <w:t xml:space="preserve"> amino acids. Boxed regions correspond to peptide sequence coverage achieved using MALDI-TOF MS. The </w:t>
      </w:r>
      <w:r w:rsidR="00E114DB">
        <w:rPr>
          <w:i/>
          <w:lang w:eastAsia="en-AU" w:bidi="ar-SA"/>
        </w:rPr>
        <w:t>blue coloured</w:t>
      </w:r>
      <w:r w:rsidR="00E114DB" w:rsidRPr="004C21AE">
        <w:rPr>
          <w:i/>
          <w:lang w:eastAsia="en-AU" w:bidi="ar-SA"/>
        </w:rPr>
        <w:t xml:space="preserve"> amino acids from </w:t>
      </w:r>
      <w:r w:rsidR="00E114DB">
        <w:rPr>
          <w:i/>
          <w:lang w:eastAsia="en-AU" w:bidi="ar-SA"/>
        </w:rPr>
        <w:t>position 1</w:t>
      </w:r>
      <w:r w:rsidR="00E114DB" w:rsidRPr="004C21AE">
        <w:rPr>
          <w:i/>
          <w:lang w:eastAsia="en-AU" w:bidi="ar-SA"/>
        </w:rPr>
        <w:t>-1</w:t>
      </w:r>
      <w:r w:rsidR="00E114DB">
        <w:rPr>
          <w:i/>
          <w:lang w:eastAsia="en-AU" w:bidi="ar-SA"/>
        </w:rPr>
        <w:t>3</w:t>
      </w:r>
      <w:r w:rsidR="00E114DB" w:rsidRPr="004C21AE">
        <w:rPr>
          <w:i/>
          <w:lang w:eastAsia="en-AU" w:bidi="ar-SA"/>
        </w:rPr>
        <w:t xml:space="preserve"> were </w:t>
      </w:r>
      <w:r w:rsidR="00AE0ABC">
        <w:rPr>
          <w:i/>
          <w:lang w:eastAsia="en-AU" w:bidi="ar-SA"/>
        </w:rPr>
        <w:t>identified</w:t>
      </w:r>
      <w:r w:rsidR="00E114DB" w:rsidRPr="004C21AE">
        <w:rPr>
          <w:i/>
          <w:lang w:eastAsia="en-AU" w:bidi="ar-SA"/>
        </w:rPr>
        <w:t xml:space="preserve"> by N-terminal sequencing.</w:t>
      </w:r>
    </w:p>
    <w:p w14:paraId="3B35A6AC" w14:textId="283457FA" w:rsidR="00D55F71" w:rsidRDefault="00826900" w:rsidP="00331FBC">
      <w:pPr>
        <w:rPr>
          <w:lang w:bidi="ar-SA"/>
        </w:rPr>
      </w:pPr>
      <w:r>
        <w:rPr>
          <w:lang w:eastAsia="en-AU" w:bidi="ar-SA"/>
        </w:rPr>
        <w:t>F</w:t>
      </w:r>
      <w:r w:rsidR="00A96E81">
        <w:rPr>
          <w:lang w:eastAsia="en-AU" w:bidi="ar-SA"/>
        </w:rPr>
        <w:t>unctional activity</w:t>
      </w:r>
      <w:r w:rsidR="00AA7A6A">
        <w:rPr>
          <w:lang w:eastAsia="en-AU" w:bidi="ar-SA"/>
        </w:rPr>
        <w:t xml:space="preserve"> </w:t>
      </w:r>
      <w:r>
        <w:rPr>
          <w:lang w:eastAsia="en-AU" w:bidi="ar-SA"/>
        </w:rPr>
        <w:t>of plant-expressed</w:t>
      </w:r>
      <w:r w:rsidR="00A96E81">
        <w:rPr>
          <w:lang w:eastAsia="en-AU" w:bidi="ar-SA"/>
        </w:rPr>
        <w:t xml:space="preserve"> </w:t>
      </w:r>
      <w:r w:rsidR="004D504D">
        <w:rPr>
          <w:lang w:eastAsia="en-AU" w:bidi="ar-SA"/>
        </w:rPr>
        <w:t>Cry14Ab1</w:t>
      </w:r>
      <w:r w:rsidR="00AA7A6A">
        <w:rPr>
          <w:lang w:eastAsia="en-AU" w:bidi="ar-SA"/>
        </w:rPr>
        <w:t xml:space="preserve"> </w:t>
      </w:r>
      <w:r>
        <w:rPr>
          <w:lang w:eastAsia="en-AU" w:bidi="ar-SA"/>
        </w:rPr>
        <w:t xml:space="preserve">was measured with a </w:t>
      </w:r>
      <w:r w:rsidR="00AA7A6A" w:rsidRPr="00AA7A6A">
        <w:rPr>
          <w:i/>
          <w:lang w:eastAsia="en-AU" w:bidi="ar-SA"/>
        </w:rPr>
        <w:t>Caenorhabditis elegans</w:t>
      </w:r>
      <w:r w:rsidR="00AA7A6A" w:rsidRPr="00AA7A6A">
        <w:rPr>
          <w:lang w:eastAsia="en-AU" w:bidi="ar-SA"/>
        </w:rPr>
        <w:t xml:space="preserve"> </w:t>
      </w:r>
      <w:r>
        <w:rPr>
          <w:lang w:eastAsia="en-AU" w:bidi="ar-SA"/>
        </w:rPr>
        <w:t>nematode toxicity</w:t>
      </w:r>
      <w:r w:rsidR="00AA7A6A" w:rsidRPr="00AA7A6A">
        <w:rPr>
          <w:lang w:eastAsia="en-AU" w:bidi="ar-SA"/>
        </w:rPr>
        <w:t xml:space="preserve"> assay</w:t>
      </w:r>
      <w:r w:rsidR="00A96E81">
        <w:rPr>
          <w:lang w:eastAsia="en-AU" w:bidi="ar-SA"/>
        </w:rPr>
        <w:t xml:space="preserve">. This bioassay </w:t>
      </w:r>
      <w:r>
        <w:rPr>
          <w:lang w:eastAsia="en-AU" w:bidi="ar-SA"/>
        </w:rPr>
        <w:t>use</w:t>
      </w:r>
      <w:r w:rsidR="00063C2C">
        <w:rPr>
          <w:lang w:eastAsia="en-AU" w:bidi="ar-SA"/>
        </w:rPr>
        <w:t>s</w:t>
      </w:r>
      <w:r>
        <w:rPr>
          <w:lang w:eastAsia="en-AU" w:bidi="ar-SA"/>
        </w:rPr>
        <w:t xml:space="preserve"> an engineered </w:t>
      </w:r>
      <w:r w:rsidRPr="00826900">
        <w:rPr>
          <w:i/>
          <w:lang w:eastAsia="en-AU" w:bidi="ar-SA"/>
        </w:rPr>
        <w:t>C. elegans</w:t>
      </w:r>
      <w:r>
        <w:rPr>
          <w:lang w:eastAsia="en-AU" w:bidi="ar-SA"/>
        </w:rPr>
        <w:t xml:space="preserve"> that expresses a red fluorescent protein</w:t>
      </w:r>
      <w:r w:rsidR="00D55F71">
        <w:rPr>
          <w:lang w:eastAsia="en-AU" w:bidi="ar-SA"/>
        </w:rPr>
        <w:t xml:space="preserve"> (RFP)</w:t>
      </w:r>
      <w:r>
        <w:rPr>
          <w:lang w:eastAsia="en-AU" w:bidi="ar-SA"/>
        </w:rPr>
        <w:t xml:space="preserve"> that can be used to monitor biomass (Chase et al. 2004). </w:t>
      </w:r>
      <w:r w:rsidR="00D55F71">
        <w:rPr>
          <w:lang w:eastAsia="en-AU" w:bidi="ar-SA"/>
        </w:rPr>
        <w:t xml:space="preserve">Expression of the RFP can be measured using a fluorescent plate reader. </w:t>
      </w:r>
      <w:r>
        <w:rPr>
          <w:lang w:eastAsia="en-AU" w:bidi="ar-SA"/>
        </w:rPr>
        <w:t xml:space="preserve">The results from this assay </w:t>
      </w:r>
      <w:r w:rsidR="00A96E81">
        <w:rPr>
          <w:lang w:eastAsia="en-AU" w:bidi="ar-SA"/>
        </w:rPr>
        <w:t>confirm</w:t>
      </w:r>
      <w:r>
        <w:rPr>
          <w:lang w:eastAsia="en-AU" w:bidi="ar-SA"/>
        </w:rPr>
        <w:t>ed</w:t>
      </w:r>
      <w:r w:rsidR="00A96E81">
        <w:rPr>
          <w:lang w:eastAsia="en-AU" w:bidi="ar-SA"/>
        </w:rPr>
        <w:t xml:space="preserve"> that the </w:t>
      </w:r>
      <w:r w:rsidR="004D504D">
        <w:rPr>
          <w:lang w:eastAsia="en-AU" w:bidi="ar-SA"/>
        </w:rPr>
        <w:t>Cry14Ab1</w:t>
      </w:r>
      <w:r w:rsidR="00A96E81">
        <w:rPr>
          <w:lang w:eastAsia="en-AU" w:bidi="ar-SA"/>
        </w:rPr>
        <w:t xml:space="preserve"> acts as an </w:t>
      </w:r>
      <w:r w:rsidR="00AA7A6A">
        <w:rPr>
          <w:lang w:eastAsia="en-AU" w:bidi="ar-SA"/>
        </w:rPr>
        <w:t>nema</w:t>
      </w:r>
      <w:r>
        <w:rPr>
          <w:lang w:eastAsia="en-AU" w:bidi="ar-SA"/>
        </w:rPr>
        <w:t>to</w:t>
      </w:r>
      <w:r w:rsidR="00A96E81">
        <w:rPr>
          <w:lang w:eastAsia="en-AU" w:bidi="ar-SA"/>
        </w:rPr>
        <w:t xml:space="preserve">cide </w:t>
      </w:r>
      <w:r w:rsidR="00D55F71">
        <w:rPr>
          <w:lang w:eastAsia="en-AU" w:bidi="ar-SA"/>
        </w:rPr>
        <w:t xml:space="preserve">in a dose-responsive manner </w:t>
      </w:r>
      <w:r w:rsidR="00A96E81">
        <w:rPr>
          <w:lang w:eastAsia="en-AU" w:bidi="ar-SA"/>
        </w:rPr>
        <w:t xml:space="preserve">and </w:t>
      </w:r>
      <w:r w:rsidR="00D55F71">
        <w:rPr>
          <w:lang w:bidi="ar-SA"/>
        </w:rPr>
        <w:t xml:space="preserve">an effective dose required to inhibit growth by 50% </w:t>
      </w:r>
      <w:r w:rsidR="0058185D">
        <w:rPr>
          <w:lang w:bidi="ar-SA"/>
        </w:rPr>
        <w:t>(ED</w:t>
      </w:r>
      <w:r w:rsidR="0058185D" w:rsidRPr="0058185D">
        <w:rPr>
          <w:vertAlign w:val="subscript"/>
          <w:lang w:bidi="ar-SA"/>
        </w:rPr>
        <w:t>50</w:t>
      </w:r>
      <w:r w:rsidR="0058185D">
        <w:rPr>
          <w:lang w:bidi="ar-SA"/>
        </w:rPr>
        <w:t xml:space="preserve">) </w:t>
      </w:r>
      <w:r w:rsidR="00D55F71">
        <w:rPr>
          <w:lang w:bidi="ar-SA"/>
        </w:rPr>
        <w:t>was determined</w:t>
      </w:r>
      <w:r w:rsidR="0058185D">
        <w:rPr>
          <w:lang w:bidi="ar-SA"/>
        </w:rPr>
        <w:t>.</w:t>
      </w:r>
    </w:p>
    <w:p w14:paraId="1FF70E73" w14:textId="4BC16BF7" w:rsidR="00413BC4" w:rsidRDefault="00413BC4" w:rsidP="00331FBC">
      <w:pPr>
        <w:rPr>
          <w:lang w:eastAsia="en-AU" w:bidi="ar-SA"/>
        </w:rPr>
      </w:pPr>
    </w:p>
    <w:p w14:paraId="2BA766ED" w14:textId="7CA965F4" w:rsidR="00331FBC" w:rsidRDefault="00331FBC" w:rsidP="00331FBC">
      <w:pPr>
        <w:rPr>
          <w:lang w:eastAsia="en-AU" w:bidi="ar-SA"/>
        </w:rPr>
      </w:pPr>
      <w:r>
        <w:rPr>
          <w:lang w:eastAsia="en-AU" w:bidi="ar-SA"/>
        </w:rPr>
        <w:t xml:space="preserve">The </w:t>
      </w:r>
      <w:r w:rsidR="004D504D">
        <w:rPr>
          <w:lang w:eastAsia="en-AU" w:bidi="ar-SA"/>
        </w:rPr>
        <w:t>Cry14Ab1</w:t>
      </w:r>
      <w:r>
        <w:rPr>
          <w:lang w:eastAsia="en-AU" w:bidi="ar-SA"/>
        </w:rPr>
        <w:t xml:space="preserve"> protein was also expressed in </w:t>
      </w:r>
      <w:r>
        <w:rPr>
          <w:i/>
          <w:lang w:eastAsia="en-AU" w:bidi="ar-SA"/>
        </w:rPr>
        <w:t>B. thuringiensis</w:t>
      </w:r>
      <w:r w:rsidRPr="00484DA0">
        <w:rPr>
          <w:lang w:eastAsia="en-AU" w:bidi="ar-SA"/>
        </w:rPr>
        <w:t xml:space="preserve">, transformed with </w:t>
      </w:r>
      <w:r>
        <w:rPr>
          <w:lang w:eastAsia="en-AU" w:bidi="ar-SA"/>
        </w:rPr>
        <w:t>a</w:t>
      </w:r>
      <w:r w:rsidRPr="00484DA0">
        <w:rPr>
          <w:lang w:eastAsia="en-AU" w:bidi="ar-SA"/>
        </w:rPr>
        <w:t xml:space="preserve"> plasmid </w:t>
      </w:r>
      <w:r>
        <w:rPr>
          <w:lang w:eastAsia="en-AU" w:bidi="ar-SA"/>
        </w:rPr>
        <w:t xml:space="preserve">to express the protein. The bacterially-derived protein was shown </w:t>
      </w:r>
      <w:r w:rsidR="002E4A00">
        <w:rPr>
          <w:lang w:eastAsia="en-AU" w:bidi="ar-SA"/>
        </w:rPr>
        <w:t>by gel electrophoresis to have an</w:t>
      </w:r>
      <w:r>
        <w:rPr>
          <w:lang w:eastAsia="en-AU" w:bidi="ar-SA"/>
        </w:rPr>
        <w:t xml:space="preserve"> apparent molecular mass </w:t>
      </w:r>
      <w:r w:rsidR="001705B6">
        <w:rPr>
          <w:lang w:eastAsia="en-AU" w:bidi="ar-SA"/>
        </w:rPr>
        <w:t>equivalent</w:t>
      </w:r>
      <w:r w:rsidR="002E4A00">
        <w:rPr>
          <w:lang w:eastAsia="en-AU" w:bidi="ar-SA"/>
        </w:rPr>
        <w:t xml:space="preserve"> to the plant expressed form of </w:t>
      </w:r>
      <w:r w:rsidR="004D504D">
        <w:rPr>
          <w:lang w:eastAsia="en-AU" w:bidi="ar-SA"/>
        </w:rPr>
        <w:t>Cry14Ab1</w:t>
      </w:r>
      <w:r>
        <w:rPr>
          <w:lang w:eastAsia="en-AU" w:bidi="ar-SA"/>
        </w:rPr>
        <w:t xml:space="preserve"> and was immunoreactive to </w:t>
      </w:r>
      <w:r w:rsidR="004D504D">
        <w:rPr>
          <w:lang w:eastAsia="en-AU" w:bidi="ar-SA"/>
        </w:rPr>
        <w:t>Cry14Ab1</w:t>
      </w:r>
      <w:r w:rsidR="002E4A00">
        <w:rPr>
          <w:lang w:eastAsia="en-AU" w:bidi="ar-SA"/>
        </w:rPr>
        <w:t xml:space="preserve"> </w:t>
      </w:r>
      <w:r>
        <w:rPr>
          <w:lang w:eastAsia="en-AU" w:bidi="ar-SA"/>
        </w:rPr>
        <w:t xml:space="preserve">antibodies in a western blot. N-terminal sequencing and peptide mapping showed that the sequence matched the expected </w:t>
      </w:r>
      <w:r w:rsidR="004D504D">
        <w:rPr>
          <w:lang w:eastAsia="en-AU" w:bidi="ar-SA"/>
        </w:rPr>
        <w:t>Cry14Ab1</w:t>
      </w:r>
      <w:r w:rsidR="002E4A00">
        <w:rPr>
          <w:lang w:eastAsia="en-AU" w:bidi="ar-SA"/>
        </w:rPr>
        <w:t xml:space="preserve"> </w:t>
      </w:r>
      <w:r>
        <w:rPr>
          <w:lang w:eastAsia="en-AU" w:bidi="ar-SA"/>
        </w:rPr>
        <w:t>sequence (</w:t>
      </w:r>
      <w:hyperlink w:anchor="Figure3" w:history="1">
        <w:r w:rsidRPr="00932B03">
          <w:rPr>
            <w:rStyle w:val="Hyperlink"/>
            <w:lang w:eastAsia="en-AU" w:bidi="ar-SA"/>
          </w:rPr>
          <w:t xml:space="preserve">Figure </w:t>
        </w:r>
        <w:r w:rsidR="002E4A00" w:rsidRPr="00932B03">
          <w:rPr>
            <w:rStyle w:val="Hyperlink"/>
            <w:lang w:eastAsia="en-AU" w:bidi="ar-SA"/>
          </w:rPr>
          <w:t>3</w:t>
        </w:r>
      </w:hyperlink>
      <w:r>
        <w:rPr>
          <w:lang w:eastAsia="en-AU" w:bidi="ar-SA"/>
        </w:rPr>
        <w:t xml:space="preserve">). The protein was also shown to be non-glycosylated and was functional in the </w:t>
      </w:r>
      <w:r w:rsidR="002E4A00">
        <w:rPr>
          <w:lang w:eastAsia="en-AU" w:bidi="ar-SA"/>
        </w:rPr>
        <w:t xml:space="preserve">nematocide </w:t>
      </w:r>
      <w:r>
        <w:rPr>
          <w:lang w:eastAsia="en-AU" w:bidi="ar-SA"/>
        </w:rPr>
        <w:t>bioassay. This data demonstrate</w:t>
      </w:r>
      <w:r w:rsidR="002E4A00">
        <w:rPr>
          <w:lang w:eastAsia="en-AU" w:bidi="ar-SA"/>
        </w:rPr>
        <w:t>s</w:t>
      </w:r>
      <w:r>
        <w:rPr>
          <w:lang w:eastAsia="en-AU" w:bidi="ar-SA"/>
        </w:rPr>
        <w:t xml:space="preserve"> that the bacterial-produced </w:t>
      </w:r>
      <w:r w:rsidR="004D504D">
        <w:rPr>
          <w:lang w:eastAsia="en-AU" w:bidi="ar-SA"/>
        </w:rPr>
        <w:t>Cry14Ab1</w:t>
      </w:r>
      <w:r>
        <w:rPr>
          <w:lang w:eastAsia="en-AU" w:bidi="ar-SA"/>
        </w:rPr>
        <w:t xml:space="preserve"> is a suitable standard for the </w:t>
      </w:r>
      <w:r w:rsidR="00FB0D9C" w:rsidRPr="00F30806">
        <w:rPr>
          <w:lang w:eastAsia="en-AU" w:bidi="ar-SA"/>
        </w:rPr>
        <w:t xml:space="preserve">enzyme-linked immunosorbent assay </w:t>
      </w:r>
      <w:r w:rsidR="00FB0D9C">
        <w:rPr>
          <w:lang w:eastAsia="en-AU" w:bidi="ar-SA"/>
        </w:rPr>
        <w:t>(</w:t>
      </w:r>
      <w:r>
        <w:rPr>
          <w:lang w:eastAsia="en-AU" w:bidi="ar-SA"/>
        </w:rPr>
        <w:t>ELISA</w:t>
      </w:r>
      <w:r w:rsidR="00FB0D9C">
        <w:rPr>
          <w:lang w:eastAsia="en-AU" w:bidi="ar-SA"/>
        </w:rPr>
        <w:t>)</w:t>
      </w:r>
      <w:r>
        <w:rPr>
          <w:lang w:eastAsia="en-AU" w:bidi="ar-SA"/>
        </w:rPr>
        <w:t xml:space="preserve"> used to detect </w:t>
      </w:r>
      <w:r w:rsidR="004D504D">
        <w:rPr>
          <w:lang w:eastAsia="en-AU" w:bidi="ar-SA"/>
        </w:rPr>
        <w:t>Cry14Ab1</w:t>
      </w:r>
      <w:r>
        <w:rPr>
          <w:lang w:eastAsia="en-AU" w:bidi="ar-SA"/>
        </w:rPr>
        <w:t xml:space="preserve"> in plant tissues (as discussed in </w:t>
      </w:r>
      <w:hyperlink w:anchor="_4.1.2_Expression_of" w:history="1">
        <w:r w:rsidRPr="00DC12DE">
          <w:rPr>
            <w:rStyle w:val="Hyperlink"/>
            <w:lang w:eastAsia="en-AU" w:bidi="ar-SA"/>
          </w:rPr>
          <w:t>Section 4.1.</w:t>
        </w:r>
        <w:r w:rsidR="004028B2" w:rsidRPr="00DC12DE">
          <w:rPr>
            <w:rStyle w:val="Hyperlink"/>
            <w:lang w:eastAsia="en-AU" w:bidi="ar-SA"/>
          </w:rPr>
          <w:t>2</w:t>
        </w:r>
      </w:hyperlink>
      <w:r>
        <w:rPr>
          <w:lang w:eastAsia="en-AU" w:bidi="ar-SA"/>
        </w:rPr>
        <w:t xml:space="preserve">) and </w:t>
      </w:r>
      <w:r w:rsidR="004028B2">
        <w:rPr>
          <w:lang w:eastAsia="en-AU" w:bidi="ar-SA"/>
        </w:rPr>
        <w:t xml:space="preserve">is </w:t>
      </w:r>
      <w:r>
        <w:rPr>
          <w:lang w:eastAsia="en-AU" w:bidi="ar-SA"/>
        </w:rPr>
        <w:t xml:space="preserve">a suitable surrogate for use in the safety assessment experiments described in </w:t>
      </w:r>
      <w:hyperlink w:anchor="_Structural_stability_after" w:history="1">
        <w:r w:rsidRPr="00DC12DE">
          <w:rPr>
            <w:rStyle w:val="Hyperlink"/>
            <w:lang w:eastAsia="en-AU" w:bidi="ar-SA"/>
          </w:rPr>
          <w:t>Section 4.</w:t>
        </w:r>
        <w:r w:rsidR="00FA3AD6" w:rsidRPr="00DC12DE">
          <w:rPr>
            <w:rStyle w:val="Hyperlink"/>
            <w:lang w:eastAsia="en-AU" w:bidi="ar-SA"/>
          </w:rPr>
          <w:t>1.3</w:t>
        </w:r>
      </w:hyperlink>
      <w:r w:rsidR="00886560">
        <w:rPr>
          <w:lang w:eastAsia="en-AU" w:bidi="ar-SA"/>
        </w:rPr>
        <w:t>.</w:t>
      </w:r>
    </w:p>
    <w:p w14:paraId="5DAEE643" w14:textId="76237604" w:rsidR="004028B2" w:rsidRDefault="004028B2" w:rsidP="00221257">
      <w:pPr>
        <w:pStyle w:val="Heading3"/>
      </w:pPr>
      <w:bookmarkStart w:id="154" w:name="_4.1.2_Expression_of"/>
      <w:bookmarkStart w:id="155" w:name="_Toc500321347"/>
      <w:bookmarkStart w:id="156" w:name="_Toc34824986"/>
      <w:bookmarkEnd w:id="154"/>
      <w:r>
        <w:t>4.1.2</w:t>
      </w:r>
      <w:r w:rsidRPr="00262CF4">
        <w:tab/>
        <w:t xml:space="preserve">Expression of </w:t>
      </w:r>
      <w:r w:rsidR="00FB2384">
        <w:t xml:space="preserve">the </w:t>
      </w:r>
      <w:r w:rsidR="004D504D">
        <w:t>Cry14Ab1</w:t>
      </w:r>
      <w:r w:rsidRPr="00262CF4">
        <w:t xml:space="preserve"> </w:t>
      </w:r>
      <w:r>
        <w:t xml:space="preserve">in </w:t>
      </w:r>
      <w:bookmarkEnd w:id="155"/>
      <w:r>
        <w:t xml:space="preserve">GMB151 </w:t>
      </w:r>
      <w:r w:rsidR="001705B6">
        <w:t>grain</w:t>
      </w:r>
      <w:bookmarkEnd w:id="156"/>
    </w:p>
    <w:p w14:paraId="19C47B8C" w14:textId="2C9F7C8B" w:rsidR="004028B2" w:rsidRDefault="004D504D" w:rsidP="00FB2384">
      <w:pPr>
        <w:rPr>
          <w:lang w:eastAsia="en-AU" w:bidi="ar-SA"/>
        </w:rPr>
      </w:pPr>
      <w:r>
        <w:rPr>
          <w:lang w:eastAsia="en-AU" w:bidi="ar-SA"/>
        </w:rPr>
        <w:t>Cry14Ab1</w:t>
      </w:r>
      <w:r w:rsidR="004028B2" w:rsidRPr="00F30806">
        <w:rPr>
          <w:lang w:eastAsia="en-AU" w:bidi="ar-SA"/>
        </w:rPr>
        <w:t xml:space="preserve"> expression </w:t>
      </w:r>
      <w:r w:rsidR="004521F1">
        <w:rPr>
          <w:lang w:eastAsia="en-AU" w:bidi="ar-SA"/>
        </w:rPr>
        <w:t xml:space="preserve">in </w:t>
      </w:r>
      <w:r w:rsidR="00FB2384">
        <w:rPr>
          <w:lang w:eastAsia="en-AU" w:bidi="ar-SA"/>
        </w:rPr>
        <w:t>processed components of</w:t>
      </w:r>
      <w:r w:rsidR="004521F1">
        <w:rPr>
          <w:lang w:eastAsia="en-AU" w:bidi="ar-SA"/>
        </w:rPr>
        <w:t xml:space="preserve"> soybean </w:t>
      </w:r>
      <w:r w:rsidR="004028B2" w:rsidRPr="00F30806">
        <w:rPr>
          <w:lang w:eastAsia="en-AU" w:bidi="ar-SA"/>
        </w:rPr>
        <w:t xml:space="preserve">was determined </w:t>
      </w:r>
      <w:r w:rsidR="001705B6">
        <w:rPr>
          <w:lang w:eastAsia="en-AU" w:bidi="ar-SA"/>
        </w:rPr>
        <w:t>using a commercially available</w:t>
      </w:r>
      <w:r w:rsidR="004028B2" w:rsidRPr="00F30806">
        <w:rPr>
          <w:lang w:eastAsia="en-AU" w:bidi="ar-SA"/>
        </w:rPr>
        <w:t xml:space="preserve"> ELISA</w:t>
      </w:r>
      <w:r w:rsidR="00FB0D9C">
        <w:rPr>
          <w:lang w:eastAsia="en-AU" w:bidi="ar-SA"/>
        </w:rPr>
        <w:t xml:space="preserve"> kit</w:t>
      </w:r>
      <w:r w:rsidR="004028B2" w:rsidRPr="00F30806">
        <w:rPr>
          <w:lang w:eastAsia="en-AU" w:bidi="ar-SA"/>
        </w:rPr>
        <w:t xml:space="preserve">. </w:t>
      </w:r>
      <w:r w:rsidR="00FB2384">
        <w:rPr>
          <w:lang w:eastAsia="en-AU" w:bidi="ar-SA"/>
        </w:rPr>
        <w:t>S</w:t>
      </w:r>
      <w:r w:rsidR="00FB2384" w:rsidRPr="0086251D">
        <w:rPr>
          <w:lang w:eastAsia="en-AU" w:bidi="ar-SA"/>
        </w:rPr>
        <w:t xml:space="preserve">amples </w:t>
      </w:r>
      <w:r w:rsidR="00FB2384">
        <w:rPr>
          <w:lang w:eastAsia="en-AU" w:bidi="ar-SA"/>
        </w:rPr>
        <w:t xml:space="preserve">of soybean grain were collected from the parental cultivar Thorne and both untreated and herbicide-treated GMB151, </w:t>
      </w:r>
      <w:r w:rsidR="00FB2384" w:rsidRPr="0086251D">
        <w:rPr>
          <w:lang w:eastAsia="en-AU" w:bidi="ar-SA"/>
        </w:rPr>
        <w:t xml:space="preserve">grown across </w:t>
      </w:r>
      <w:r w:rsidR="00FB2384">
        <w:rPr>
          <w:lang w:eastAsia="en-AU" w:bidi="ar-SA"/>
        </w:rPr>
        <w:t>two</w:t>
      </w:r>
      <w:r w:rsidR="00FB2384" w:rsidRPr="0086251D">
        <w:rPr>
          <w:lang w:eastAsia="en-AU" w:bidi="ar-SA"/>
        </w:rPr>
        <w:t xml:space="preserve"> field-trial sites</w:t>
      </w:r>
      <w:r w:rsidR="00FB2384">
        <w:rPr>
          <w:rStyle w:val="FootnoteReference"/>
          <w:lang w:eastAsia="en-AU" w:bidi="ar-SA"/>
        </w:rPr>
        <w:footnoteReference w:id="4"/>
      </w:r>
      <w:r w:rsidR="00FB2384" w:rsidRPr="0086251D">
        <w:rPr>
          <w:lang w:eastAsia="en-AU" w:bidi="ar-SA"/>
        </w:rPr>
        <w:t xml:space="preserve"> </w:t>
      </w:r>
      <w:r w:rsidR="00FB2384">
        <w:rPr>
          <w:lang w:eastAsia="en-AU" w:bidi="ar-SA"/>
        </w:rPr>
        <w:t>during the 2016</w:t>
      </w:r>
      <w:r w:rsidR="00FB2384" w:rsidRPr="0086251D">
        <w:rPr>
          <w:lang w:eastAsia="en-AU" w:bidi="ar-SA"/>
        </w:rPr>
        <w:t xml:space="preserve"> growing season in the US. </w:t>
      </w:r>
      <w:r w:rsidR="004028B2">
        <w:rPr>
          <w:lang w:eastAsia="en-AU" w:bidi="ar-SA"/>
        </w:rPr>
        <w:t>A</w:t>
      </w:r>
      <w:r w:rsidR="004028B2" w:rsidRPr="00F30806">
        <w:rPr>
          <w:lang w:eastAsia="en-AU" w:bidi="ar-SA"/>
        </w:rPr>
        <w:t xml:space="preserve"> standard curve was generat</w:t>
      </w:r>
      <w:r w:rsidR="001705B6">
        <w:rPr>
          <w:lang w:eastAsia="en-AU" w:bidi="ar-SA"/>
        </w:rPr>
        <w:t xml:space="preserve">ed using microbially expressed </w:t>
      </w:r>
      <w:r>
        <w:rPr>
          <w:lang w:eastAsia="en-AU" w:bidi="ar-SA"/>
        </w:rPr>
        <w:t>Cry14Ab1</w:t>
      </w:r>
      <w:r w:rsidR="00100AE1">
        <w:rPr>
          <w:lang w:eastAsia="en-AU" w:bidi="ar-SA"/>
        </w:rPr>
        <w:t>(see</w:t>
      </w:r>
      <w:r w:rsidR="001705B6">
        <w:rPr>
          <w:lang w:eastAsia="en-AU" w:bidi="ar-SA"/>
        </w:rPr>
        <w:t xml:space="preserve"> </w:t>
      </w:r>
      <w:hyperlink w:anchor="_4.1.1_Characterisation_of" w:history="1">
        <w:r w:rsidR="001705B6" w:rsidRPr="00DC12DE">
          <w:rPr>
            <w:rStyle w:val="Hyperlink"/>
            <w:lang w:eastAsia="en-AU" w:bidi="ar-SA"/>
          </w:rPr>
          <w:t>S</w:t>
        </w:r>
        <w:r w:rsidR="004028B2" w:rsidRPr="00DC12DE">
          <w:rPr>
            <w:rStyle w:val="Hyperlink"/>
            <w:lang w:eastAsia="en-AU" w:bidi="ar-SA"/>
          </w:rPr>
          <w:t>ection 4.</w:t>
        </w:r>
        <w:r w:rsidR="001705B6" w:rsidRPr="00DC12DE">
          <w:rPr>
            <w:rStyle w:val="Hyperlink"/>
            <w:lang w:eastAsia="en-AU" w:bidi="ar-SA"/>
          </w:rPr>
          <w:t>1.1</w:t>
        </w:r>
      </w:hyperlink>
      <w:r w:rsidR="00100AE1">
        <w:rPr>
          <w:rStyle w:val="Hyperlink"/>
          <w:lang w:eastAsia="en-AU" w:bidi="ar-SA"/>
        </w:rPr>
        <w:t>)</w:t>
      </w:r>
      <w:r w:rsidR="004028B2">
        <w:rPr>
          <w:lang w:eastAsia="en-AU" w:bidi="ar-SA"/>
        </w:rPr>
        <w:t>.</w:t>
      </w:r>
      <w:r w:rsidR="00776AF4" w:rsidRPr="00776AF4">
        <w:rPr>
          <w:lang w:eastAsia="en-AU" w:bidi="ar-SA"/>
        </w:rPr>
        <w:t xml:space="preserve"> </w:t>
      </w:r>
      <w:r w:rsidR="00776AF4">
        <w:rPr>
          <w:lang w:eastAsia="en-AU" w:bidi="ar-SA"/>
        </w:rPr>
        <w:t>Background controls included no protein vehicle controls and protein isolated from the equivalent processed fractions from Thorne.</w:t>
      </w:r>
    </w:p>
    <w:p w14:paraId="1DC8D604" w14:textId="5CF340EA" w:rsidR="00FB2384" w:rsidRDefault="00FB2384" w:rsidP="00FB2384">
      <w:pPr>
        <w:rPr>
          <w:lang w:eastAsia="en-AU" w:bidi="ar-SA"/>
        </w:rPr>
      </w:pPr>
    </w:p>
    <w:p w14:paraId="7B0E3795" w14:textId="234BDAA4" w:rsidR="00FB2384" w:rsidRPr="00D03B70" w:rsidRDefault="00FB0D9C" w:rsidP="00FB2384">
      <w:pPr>
        <w:rPr>
          <w:highlight w:val="yellow"/>
          <w:lang w:eastAsia="en-AU" w:bidi="ar-SA"/>
        </w:rPr>
      </w:pPr>
      <w:r>
        <w:rPr>
          <w:lang w:eastAsia="en-AU" w:bidi="ar-SA"/>
        </w:rPr>
        <w:t>Results</w:t>
      </w:r>
      <w:r w:rsidR="00FB2384">
        <w:rPr>
          <w:lang w:eastAsia="en-AU" w:bidi="ar-SA"/>
        </w:rPr>
        <w:t xml:space="preserve"> from the ELISA show that </w:t>
      </w:r>
      <w:r w:rsidR="004D504D">
        <w:rPr>
          <w:lang w:eastAsia="en-AU" w:bidi="ar-SA"/>
        </w:rPr>
        <w:t>Cry14Ab1</w:t>
      </w:r>
      <w:r w:rsidR="00FB2384">
        <w:rPr>
          <w:lang w:eastAsia="en-AU" w:bidi="ar-SA"/>
        </w:rPr>
        <w:t xml:space="preserve"> is detectable in the whole seed and seed hulls of both untreated and herbicide-treated GMB151</w:t>
      </w:r>
      <w:r w:rsidR="005F67DC">
        <w:rPr>
          <w:lang w:eastAsia="en-AU" w:bidi="ar-SA"/>
        </w:rPr>
        <w:t xml:space="preserve"> (</w:t>
      </w:r>
      <w:hyperlink w:anchor="Table6" w:history="1">
        <w:r w:rsidR="005F67DC" w:rsidRPr="00DC12DE">
          <w:rPr>
            <w:rStyle w:val="Hyperlink"/>
            <w:lang w:eastAsia="en-AU" w:bidi="ar-SA"/>
          </w:rPr>
          <w:t xml:space="preserve">Table </w:t>
        </w:r>
        <w:r w:rsidR="00A04498" w:rsidRPr="00DC12DE">
          <w:rPr>
            <w:rStyle w:val="Hyperlink"/>
            <w:lang w:eastAsia="en-AU" w:bidi="ar-SA"/>
          </w:rPr>
          <w:t>6</w:t>
        </w:r>
      </w:hyperlink>
      <w:r w:rsidR="005F67DC">
        <w:rPr>
          <w:lang w:eastAsia="en-AU" w:bidi="ar-SA"/>
        </w:rPr>
        <w:t>)</w:t>
      </w:r>
      <w:r w:rsidR="00FB2384">
        <w:rPr>
          <w:lang w:eastAsia="en-AU" w:bidi="ar-SA"/>
        </w:rPr>
        <w:t xml:space="preserve">. No </w:t>
      </w:r>
      <w:r w:rsidR="004D504D">
        <w:rPr>
          <w:lang w:eastAsia="en-AU" w:bidi="ar-SA"/>
        </w:rPr>
        <w:t>Cry14Ab1</w:t>
      </w:r>
      <w:r w:rsidR="00FB2384">
        <w:rPr>
          <w:lang w:eastAsia="en-AU" w:bidi="ar-SA"/>
        </w:rPr>
        <w:t xml:space="preserve"> was detected in the more highly processed products: toasted meal, refined oil and the concentrated protein isolate from the meal.</w:t>
      </w:r>
    </w:p>
    <w:p w14:paraId="355DF6CE" w14:textId="6791D68D" w:rsidR="001705B6" w:rsidRDefault="001705B6" w:rsidP="00824858">
      <w:pPr>
        <w:pStyle w:val="FSTableTitle"/>
        <w:rPr>
          <w:lang w:eastAsia="en-AU" w:bidi="ar-SA"/>
        </w:rPr>
      </w:pPr>
    </w:p>
    <w:p w14:paraId="70D2037E" w14:textId="44F880CE" w:rsidR="001705B6" w:rsidRDefault="001705B6" w:rsidP="001705B6">
      <w:pPr>
        <w:pStyle w:val="FSTableTitle"/>
        <w:spacing w:after="120"/>
        <w:ind w:left="426"/>
        <w:rPr>
          <w:lang w:eastAsia="en-AU" w:bidi="ar-SA"/>
        </w:rPr>
      </w:pPr>
      <w:bookmarkStart w:id="157" w:name="Table6"/>
      <w:r>
        <w:rPr>
          <w:lang w:eastAsia="en-AU" w:bidi="ar-SA"/>
        </w:rPr>
        <w:t xml:space="preserve">Table </w:t>
      </w:r>
      <w:r w:rsidR="00A04498">
        <w:rPr>
          <w:lang w:eastAsia="en-AU" w:bidi="ar-SA"/>
        </w:rPr>
        <w:t>6</w:t>
      </w:r>
      <w:bookmarkEnd w:id="157"/>
      <w:r>
        <w:rPr>
          <w:lang w:eastAsia="en-AU" w:bidi="ar-SA"/>
        </w:rPr>
        <w:t xml:space="preserve">: </w:t>
      </w:r>
      <w:r w:rsidR="00FB2384">
        <w:rPr>
          <w:lang w:eastAsia="en-AU" w:bidi="ar-SA"/>
        </w:rPr>
        <w:t>Mean e</w:t>
      </w:r>
      <w:r>
        <w:rPr>
          <w:lang w:eastAsia="en-AU" w:bidi="ar-SA"/>
        </w:rPr>
        <w:t xml:space="preserve">xpression </w:t>
      </w:r>
      <w:r w:rsidR="00FB2384">
        <w:rPr>
          <w:lang w:eastAsia="en-AU" w:bidi="ar-SA"/>
        </w:rPr>
        <w:t xml:space="preserve">levels </w:t>
      </w:r>
      <w:r>
        <w:rPr>
          <w:lang w:eastAsia="en-AU" w:bidi="ar-SA"/>
        </w:rPr>
        <w:t xml:space="preserve">of </w:t>
      </w:r>
      <w:r w:rsidR="004D504D">
        <w:rPr>
          <w:lang w:eastAsia="en-AU" w:bidi="ar-SA"/>
        </w:rPr>
        <w:t>Cry14Ab1</w:t>
      </w:r>
      <w:r>
        <w:rPr>
          <w:lang w:eastAsia="en-AU" w:bidi="ar-SA"/>
        </w:rPr>
        <w:t xml:space="preserve"> </w:t>
      </w:r>
      <w:r w:rsidR="004521F1">
        <w:rPr>
          <w:lang w:eastAsia="en-AU" w:bidi="ar-SA"/>
        </w:rPr>
        <w:t>in GMB151 grain components</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6"/>
        <w:tblDescription w:val="Mean expression levels of Cry14Ab1 in GMB151 grain components"/>
      </w:tblPr>
      <w:tblGrid>
        <w:gridCol w:w="1706"/>
        <w:gridCol w:w="1037"/>
        <w:gridCol w:w="1267"/>
        <w:gridCol w:w="1268"/>
      </w:tblGrid>
      <w:tr w:rsidR="004521F1" w14:paraId="62CDE241" w14:textId="58E3EABF" w:rsidTr="00824858">
        <w:trPr>
          <w:trHeight w:val="510"/>
        </w:trPr>
        <w:tc>
          <w:tcPr>
            <w:tcW w:w="1706" w:type="dxa"/>
            <w:shd w:val="clear" w:color="auto" w:fill="7F7F7F" w:themeFill="text1" w:themeFillTint="80"/>
            <w:vAlign w:val="center"/>
          </w:tcPr>
          <w:p w14:paraId="43DCDDA1" w14:textId="68C08B65" w:rsidR="004521F1" w:rsidRPr="004521F1" w:rsidRDefault="004521F1" w:rsidP="004521F1">
            <w:pPr>
              <w:jc w:val="center"/>
              <w:rPr>
                <w:b/>
                <w:iCs/>
                <w:color w:val="FFFFFF" w:themeColor="background1"/>
              </w:rPr>
            </w:pPr>
            <w:r w:rsidRPr="004521F1">
              <w:rPr>
                <w:b/>
                <w:iCs/>
                <w:color w:val="FFFFFF" w:themeColor="background1"/>
                <w:sz w:val="20"/>
              </w:rPr>
              <w:t>Matrix</w:t>
            </w:r>
          </w:p>
        </w:tc>
        <w:tc>
          <w:tcPr>
            <w:tcW w:w="1037" w:type="dxa"/>
            <w:shd w:val="clear" w:color="auto" w:fill="7F7F7F" w:themeFill="text1" w:themeFillTint="80"/>
            <w:vAlign w:val="center"/>
          </w:tcPr>
          <w:p w14:paraId="23102F83" w14:textId="068CB9A2" w:rsidR="004521F1" w:rsidRPr="004521F1" w:rsidRDefault="004521F1" w:rsidP="004521F1">
            <w:pPr>
              <w:spacing w:before="20" w:after="20"/>
              <w:jc w:val="center"/>
              <w:rPr>
                <w:b/>
                <w:iCs/>
                <w:color w:val="FFFFFF" w:themeColor="background1"/>
                <w:sz w:val="18"/>
                <w:szCs w:val="18"/>
              </w:rPr>
            </w:pPr>
            <w:r w:rsidRPr="004521F1">
              <w:rPr>
                <w:b/>
                <w:iCs/>
                <w:color w:val="FFFFFF" w:themeColor="background1"/>
                <w:sz w:val="18"/>
                <w:szCs w:val="18"/>
              </w:rPr>
              <w:t>Herbicide treated</w:t>
            </w:r>
          </w:p>
        </w:tc>
        <w:tc>
          <w:tcPr>
            <w:tcW w:w="1267" w:type="dxa"/>
            <w:shd w:val="clear" w:color="auto" w:fill="7F7F7F" w:themeFill="text1" w:themeFillTint="80"/>
            <w:vAlign w:val="center"/>
          </w:tcPr>
          <w:p w14:paraId="78E1A525" w14:textId="4403E5DF" w:rsidR="004521F1" w:rsidRPr="004521F1" w:rsidRDefault="004D504D" w:rsidP="004521F1">
            <w:pPr>
              <w:spacing w:before="20" w:after="20"/>
              <w:jc w:val="center"/>
              <w:rPr>
                <w:b/>
                <w:iCs/>
                <w:color w:val="FFFFFF" w:themeColor="background1"/>
                <w:sz w:val="18"/>
                <w:szCs w:val="18"/>
              </w:rPr>
            </w:pPr>
            <w:r>
              <w:rPr>
                <w:b/>
                <w:iCs/>
                <w:color w:val="FFFFFF" w:themeColor="background1"/>
                <w:sz w:val="18"/>
                <w:szCs w:val="18"/>
              </w:rPr>
              <w:t>Cry14Ab1</w:t>
            </w:r>
            <w:r w:rsidR="004521F1" w:rsidRPr="004521F1">
              <w:rPr>
                <w:b/>
                <w:iCs/>
                <w:color w:val="FFFFFF" w:themeColor="background1"/>
                <w:sz w:val="18"/>
                <w:szCs w:val="18"/>
              </w:rPr>
              <w:t xml:space="preserve"> (</w:t>
            </w:r>
            <w:r w:rsidR="004521F1" w:rsidRPr="004521F1">
              <w:rPr>
                <w:rFonts w:cs="Arial"/>
                <w:b/>
                <w:iCs/>
                <w:color w:val="FFFFFF" w:themeColor="background1"/>
                <w:sz w:val="18"/>
                <w:szCs w:val="18"/>
              </w:rPr>
              <w:t>µ</w:t>
            </w:r>
            <w:r w:rsidR="00FB2384">
              <w:rPr>
                <w:rFonts w:cs="Arial"/>
                <w:b/>
                <w:iCs/>
                <w:color w:val="FFFFFF" w:themeColor="background1"/>
                <w:sz w:val="18"/>
                <w:szCs w:val="18"/>
              </w:rPr>
              <w:t>g</w:t>
            </w:r>
            <w:r w:rsidR="004521F1" w:rsidRPr="004521F1">
              <w:rPr>
                <w:b/>
                <w:iCs/>
                <w:color w:val="FFFFFF" w:themeColor="background1"/>
                <w:sz w:val="18"/>
                <w:szCs w:val="18"/>
              </w:rPr>
              <w:t>/g FW)</w:t>
            </w:r>
            <w:r w:rsidR="004521F1" w:rsidRPr="004521F1">
              <w:rPr>
                <w:b/>
                <w:iCs/>
                <w:color w:val="FFFFFF" w:themeColor="background1"/>
                <w:sz w:val="18"/>
                <w:szCs w:val="18"/>
                <w:vertAlign w:val="superscript"/>
              </w:rPr>
              <w:t>1</w:t>
            </w:r>
          </w:p>
        </w:tc>
        <w:tc>
          <w:tcPr>
            <w:tcW w:w="1268" w:type="dxa"/>
            <w:shd w:val="clear" w:color="auto" w:fill="7F7F7F" w:themeFill="text1" w:themeFillTint="80"/>
            <w:vAlign w:val="center"/>
          </w:tcPr>
          <w:p w14:paraId="3AB1924E" w14:textId="4B5DA101" w:rsidR="004521F1" w:rsidRPr="004521F1" w:rsidRDefault="004D504D" w:rsidP="004521F1">
            <w:pPr>
              <w:spacing w:before="20" w:after="20"/>
              <w:jc w:val="center"/>
              <w:rPr>
                <w:rFonts w:cs="Arial"/>
                <w:iCs/>
                <w:color w:val="FFFFFF" w:themeColor="background1"/>
                <w:sz w:val="28"/>
                <w:szCs w:val="18"/>
              </w:rPr>
            </w:pPr>
            <w:r>
              <w:rPr>
                <w:b/>
                <w:iCs/>
                <w:color w:val="FFFFFF" w:themeColor="background1"/>
                <w:sz w:val="18"/>
                <w:szCs w:val="18"/>
              </w:rPr>
              <w:t>Cry14Ab1</w:t>
            </w:r>
            <w:r w:rsidR="004521F1" w:rsidRPr="004521F1">
              <w:rPr>
                <w:b/>
                <w:iCs/>
                <w:color w:val="FFFFFF" w:themeColor="background1"/>
                <w:sz w:val="18"/>
                <w:szCs w:val="18"/>
              </w:rPr>
              <w:t xml:space="preserve"> (</w:t>
            </w:r>
            <w:r w:rsidR="004521F1" w:rsidRPr="004521F1">
              <w:rPr>
                <w:rFonts w:cs="Arial"/>
                <w:b/>
                <w:iCs/>
                <w:color w:val="FFFFFF" w:themeColor="background1"/>
                <w:sz w:val="18"/>
                <w:szCs w:val="18"/>
              </w:rPr>
              <w:t>µ</w:t>
            </w:r>
            <w:r w:rsidR="00FB2384">
              <w:rPr>
                <w:rFonts w:cs="Arial"/>
                <w:b/>
                <w:iCs/>
                <w:color w:val="FFFFFF" w:themeColor="background1"/>
                <w:sz w:val="18"/>
                <w:szCs w:val="18"/>
              </w:rPr>
              <w:t>g</w:t>
            </w:r>
            <w:r w:rsidR="004521F1" w:rsidRPr="004521F1">
              <w:rPr>
                <w:b/>
                <w:iCs/>
                <w:color w:val="FFFFFF" w:themeColor="background1"/>
                <w:sz w:val="18"/>
                <w:szCs w:val="18"/>
              </w:rPr>
              <w:t>/g DW)</w:t>
            </w:r>
            <w:r w:rsidR="004521F1" w:rsidRPr="004521F1">
              <w:rPr>
                <w:b/>
                <w:iCs/>
                <w:color w:val="FFFFFF" w:themeColor="background1"/>
                <w:sz w:val="18"/>
                <w:szCs w:val="18"/>
                <w:vertAlign w:val="superscript"/>
              </w:rPr>
              <w:t>2</w:t>
            </w:r>
          </w:p>
        </w:tc>
      </w:tr>
      <w:tr w:rsidR="004521F1" w14:paraId="7BF64868" w14:textId="25623B7B" w:rsidTr="00824858">
        <w:trPr>
          <w:trHeight w:val="227"/>
        </w:trPr>
        <w:tc>
          <w:tcPr>
            <w:tcW w:w="1706" w:type="dxa"/>
            <w:vMerge w:val="restart"/>
            <w:vAlign w:val="center"/>
          </w:tcPr>
          <w:p w14:paraId="556B7361" w14:textId="1CCC30CA" w:rsidR="004521F1" w:rsidRPr="004521F1" w:rsidRDefault="004521F1" w:rsidP="00824858">
            <w:pPr>
              <w:jc w:val="center"/>
              <w:rPr>
                <w:b/>
                <w:iCs/>
                <w:sz w:val="18"/>
              </w:rPr>
            </w:pPr>
            <w:r w:rsidRPr="004521F1">
              <w:rPr>
                <w:b/>
                <w:iCs/>
                <w:sz w:val="18"/>
              </w:rPr>
              <w:t>Grain</w:t>
            </w:r>
          </w:p>
        </w:tc>
        <w:tc>
          <w:tcPr>
            <w:tcW w:w="1037" w:type="dxa"/>
            <w:vAlign w:val="center"/>
          </w:tcPr>
          <w:p w14:paraId="7F15B714" w14:textId="4CCA4382" w:rsidR="004521F1" w:rsidRDefault="004521F1" w:rsidP="00824858">
            <w:pPr>
              <w:jc w:val="center"/>
              <w:rPr>
                <w:rFonts w:cs="Arial"/>
                <w:iCs/>
                <w:sz w:val="18"/>
                <w:szCs w:val="18"/>
              </w:rPr>
            </w:pPr>
            <w:r w:rsidRPr="004521F1">
              <w:rPr>
                <w:rFonts w:cs="Arial"/>
                <w:iCs/>
                <w:sz w:val="28"/>
                <w:szCs w:val="18"/>
              </w:rPr>
              <w:t>-</w:t>
            </w:r>
          </w:p>
        </w:tc>
        <w:tc>
          <w:tcPr>
            <w:tcW w:w="1267" w:type="dxa"/>
            <w:vAlign w:val="center"/>
          </w:tcPr>
          <w:p w14:paraId="3193A1F5" w14:textId="246C6A91" w:rsidR="004521F1" w:rsidRPr="004521F1" w:rsidRDefault="004521F1" w:rsidP="00824858">
            <w:pPr>
              <w:jc w:val="center"/>
              <w:rPr>
                <w:rFonts w:cs="Arial"/>
                <w:iCs/>
                <w:sz w:val="18"/>
                <w:szCs w:val="18"/>
              </w:rPr>
            </w:pPr>
            <w:r w:rsidRPr="004521F1">
              <w:rPr>
                <w:rFonts w:cs="Arial"/>
                <w:iCs/>
                <w:sz w:val="18"/>
                <w:szCs w:val="18"/>
              </w:rPr>
              <w:t>71.79</w:t>
            </w:r>
          </w:p>
        </w:tc>
        <w:tc>
          <w:tcPr>
            <w:tcW w:w="1268" w:type="dxa"/>
            <w:vAlign w:val="center"/>
          </w:tcPr>
          <w:p w14:paraId="4490ADA2" w14:textId="5ECDFE4C" w:rsidR="004521F1" w:rsidRPr="004521F1" w:rsidRDefault="004521F1" w:rsidP="00824858">
            <w:pPr>
              <w:jc w:val="center"/>
              <w:rPr>
                <w:rFonts w:cs="Arial"/>
                <w:iCs/>
                <w:sz w:val="18"/>
                <w:szCs w:val="18"/>
              </w:rPr>
            </w:pPr>
            <w:r w:rsidRPr="004521F1">
              <w:rPr>
                <w:rFonts w:cs="Arial"/>
                <w:iCs/>
                <w:sz w:val="18"/>
                <w:szCs w:val="18"/>
              </w:rPr>
              <w:t>81.48</w:t>
            </w:r>
          </w:p>
        </w:tc>
      </w:tr>
      <w:tr w:rsidR="004521F1" w14:paraId="09752FA6" w14:textId="147A2688" w:rsidTr="00824858">
        <w:trPr>
          <w:trHeight w:val="20"/>
        </w:trPr>
        <w:tc>
          <w:tcPr>
            <w:tcW w:w="1706" w:type="dxa"/>
            <w:vMerge/>
            <w:vAlign w:val="center"/>
          </w:tcPr>
          <w:p w14:paraId="095062BC" w14:textId="1ABC6D36" w:rsidR="004521F1" w:rsidRPr="004521F1" w:rsidRDefault="004521F1" w:rsidP="004521F1">
            <w:pPr>
              <w:spacing w:before="20" w:after="20"/>
              <w:jc w:val="center"/>
              <w:rPr>
                <w:b/>
                <w:iCs/>
                <w:sz w:val="18"/>
              </w:rPr>
            </w:pPr>
          </w:p>
        </w:tc>
        <w:tc>
          <w:tcPr>
            <w:tcW w:w="1037" w:type="dxa"/>
            <w:vAlign w:val="center"/>
          </w:tcPr>
          <w:p w14:paraId="6BE8860F" w14:textId="444CAE5F" w:rsidR="004521F1" w:rsidRDefault="004521F1" w:rsidP="00824858">
            <w:pPr>
              <w:jc w:val="center"/>
              <w:rPr>
                <w:rFonts w:cs="Arial"/>
                <w:iCs/>
                <w:sz w:val="18"/>
                <w:szCs w:val="18"/>
              </w:rPr>
            </w:pPr>
            <w:r w:rsidRPr="004521F1">
              <w:rPr>
                <w:rFonts w:cs="Arial"/>
                <w:iCs/>
                <w:sz w:val="28"/>
                <w:szCs w:val="18"/>
              </w:rPr>
              <w:t>+</w:t>
            </w:r>
          </w:p>
        </w:tc>
        <w:tc>
          <w:tcPr>
            <w:tcW w:w="1267" w:type="dxa"/>
            <w:vAlign w:val="center"/>
          </w:tcPr>
          <w:p w14:paraId="5A9984DF" w14:textId="2F508FA3" w:rsidR="004521F1" w:rsidRPr="004521F1" w:rsidRDefault="004521F1" w:rsidP="00824858">
            <w:pPr>
              <w:jc w:val="center"/>
              <w:rPr>
                <w:rFonts w:cs="Arial"/>
                <w:iCs/>
                <w:sz w:val="18"/>
                <w:szCs w:val="18"/>
              </w:rPr>
            </w:pPr>
            <w:r>
              <w:rPr>
                <w:rFonts w:cs="Arial"/>
                <w:iCs/>
                <w:sz w:val="18"/>
                <w:szCs w:val="18"/>
              </w:rPr>
              <w:t>81.89</w:t>
            </w:r>
          </w:p>
        </w:tc>
        <w:tc>
          <w:tcPr>
            <w:tcW w:w="1268" w:type="dxa"/>
            <w:vAlign w:val="center"/>
          </w:tcPr>
          <w:p w14:paraId="2D24E043" w14:textId="00E26804" w:rsidR="004521F1" w:rsidRPr="004521F1" w:rsidRDefault="004521F1" w:rsidP="00824858">
            <w:pPr>
              <w:jc w:val="center"/>
              <w:rPr>
                <w:rFonts w:cs="Arial"/>
                <w:iCs/>
                <w:sz w:val="18"/>
                <w:szCs w:val="18"/>
              </w:rPr>
            </w:pPr>
            <w:r>
              <w:rPr>
                <w:rFonts w:cs="Arial"/>
                <w:iCs/>
                <w:sz w:val="18"/>
                <w:szCs w:val="18"/>
              </w:rPr>
              <w:t>92.84</w:t>
            </w:r>
          </w:p>
        </w:tc>
      </w:tr>
      <w:tr w:rsidR="004521F1" w14:paraId="1D1A07CD" w14:textId="2DFD4312" w:rsidTr="00824858">
        <w:trPr>
          <w:trHeight w:val="20"/>
        </w:trPr>
        <w:tc>
          <w:tcPr>
            <w:tcW w:w="1706" w:type="dxa"/>
            <w:vMerge w:val="restart"/>
            <w:shd w:val="clear" w:color="auto" w:fill="D9D9D9" w:themeFill="background1" w:themeFillShade="D9"/>
            <w:vAlign w:val="center"/>
          </w:tcPr>
          <w:p w14:paraId="3244AFF9" w14:textId="60CB9E3B" w:rsidR="004521F1" w:rsidRPr="004521F1" w:rsidRDefault="004521F1" w:rsidP="00824858">
            <w:pPr>
              <w:jc w:val="center"/>
              <w:rPr>
                <w:b/>
                <w:iCs/>
                <w:sz w:val="18"/>
              </w:rPr>
            </w:pPr>
            <w:r w:rsidRPr="004521F1">
              <w:rPr>
                <w:b/>
                <w:iCs/>
                <w:sz w:val="18"/>
              </w:rPr>
              <w:t>Toasted meal</w:t>
            </w:r>
          </w:p>
        </w:tc>
        <w:tc>
          <w:tcPr>
            <w:tcW w:w="1037" w:type="dxa"/>
            <w:shd w:val="clear" w:color="auto" w:fill="D9D9D9" w:themeFill="background1" w:themeFillShade="D9"/>
            <w:vAlign w:val="center"/>
          </w:tcPr>
          <w:p w14:paraId="71F15EE4" w14:textId="3B9E55C1" w:rsidR="004521F1" w:rsidRDefault="004521F1" w:rsidP="00824858">
            <w:pPr>
              <w:jc w:val="center"/>
              <w:rPr>
                <w:rFonts w:cs="Arial"/>
                <w:iCs/>
                <w:sz w:val="18"/>
                <w:szCs w:val="18"/>
              </w:rPr>
            </w:pPr>
            <w:r w:rsidRPr="004521F1">
              <w:rPr>
                <w:rFonts w:cs="Arial"/>
                <w:iCs/>
                <w:sz w:val="28"/>
                <w:szCs w:val="18"/>
              </w:rPr>
              <w:t>-</w:t>
            </w:r>
          </w:p>
        </w:tc>
        <w:tc>
          <w:tcPr>
            <w:tcW w:w="1267" w:type="dxa"/>
            <w:shd w:val="clear" w:color="auto" w:fill="D9D9D9" w:themeFill="background1" w:themeFillShade="D9"/>
            <w:vAlign w:val="center"/>
          </w:tcPr>
          <w:p w14:paraId="789D7A95" w14:textId="75EB4FE5" w:rsidR="004521F1" w:rsidRPr="004521F1" w:rsidRDefault="004521F1" w:rsidP="00824858">
            <w:pPr>
              <w:jc w:val="center"/>
              <w:rPr>
                <w:rFonts w:cs="Arial"/>
                <w:iCs/>
                <w:sz w:val="18"/>
                <w:szCs w:val="18"/>
              </w:rPr>
            </w:pPr>
            <w:r>
              <w:rPr>
                <w:rFonts w:cs="Arial"/>
                <w:iCs/>
                <w:sz w:val="18"/>
                <w:szCs w:val="18"/>
              </w:rPr>
              <w:t>&lt; LOD</w:t>
            </w:r>
            <w:r w:rsidRPr="004521F1">
              <w:rPr>
                <w:rFonts w:cs="Arial"/>
                <w:iCs/>
                <w:sz w:val="18"/>
                <w:szCs w:val="18"/>
                <w:vertAlign w:val="superscript"/>
              </w:rPr>
              <w:t>3</w:t>
            </w:r>
          </w:p>
        </w:tc>
        <w:tc>
          <w:tcPr>
            <w:tcW w:w="1268" w:type="dxa"/>
            <w:shd w:val="clear" w:color="auto" w:fill="D9D9D9" w:themeFill="background1" w:themeFillShade="D9"/>
            <w:vAlign w:val="center"/>
          </w:tcPr>
          <w:p w14:paraId="6802C508" w14:textId="4C57B0B2" w:rsidR="004521F1" w:rsidRPr="004521F1" w:rsidRDefault="004521F1" w:rsidP="00824858">
            <w:pPr>
              <w:jc w:val="center"/>
              <w:rPr>
                <w:rFonts w:cs="Arial"/>
                <w:iCs/>
                <w:sz w:val="18"/>
                <w:szCs w:val="18"/>
              </w:rPr>
            </w:pPr>
            <w:r>
              <w:rPr>
                <w:rFonts w:cs="Arial"/>
                <w:iCs/>
                <w:sz w:val="18"/>
                <w:szCs w:val="18"/>
              </w:rPr>
              <w:t>&lt; LOD</w:t>
            </w:r>
          </w:p>
        </w:tc>
      </w:tr>
      <w:tr w:rsidR="004521F1" w14:paraId="1D9C46A6" w14:textId="5D17925F" w:rsidTr="00824858">
        <w:trPr>
          <w:trHeight w:val="20"/>
        </w:trPr>
        <w:tc>
          <w:tcPr>
            <w:tcW w:w="1706" w:type="dxa"/>
            <w:vMerge/>
            <w:shd w:val="clear" w:color="auto" w:fill="D9D9D9" w:themeFill="background1" w:themeFillShade="D9"/>
            <w:vAlign w:val="center"/>
          </w:tcPr>
          <w:p w14:paraId="29970966" w14:textId="52083406" w:rsidR="004521F1" w:rsidRPr="004521F1" w:rsidRDefault="004521F1" w:rsidP="00824858">
            <w:pPr>
              <w:jc w:val="center"/>
              <w:rPr>
                <w:b/>
                <w:iCs/>
                <w:sz w:val="18"/>
              </w:rPr>
            </w:pPr>
          </w:p>
        </w:tc>
        <w:tc>
          <w:tcPr>
            <w:tcW w:w="1037" w:type="dxa"/>
            <w:shd w:val="clear" w:color="auto" w:fill="D9D9D9" w:themeFill="background1" w:themeFillShade="D9"/>
            <w:vAlign w:val="center"/>
          </w:tcPr>
          <w:p w14:paraId="2250614D" w14:textId="538A9F2B" w:rsidR="004521F1" w:rsidRDefault="004521F1" w:rsidP="00824858">
            <w:pPr>
              <w:jc w:val="center"/>
              <w:rPr>
                <w:rFonts w:cs="Arial"/>
                <w:iCs/>
                <w:sz w:val="18"/>
                <w:szCs w:val="18"/>
              </w:rPr>
            </w:pPr>
            <w:r w:rsidRPr="004521F1">
              <w:rPr>
                <w:rFonts w:cs="Arial"/>
                <w:iCs/>
                <w:sz w:val="28"/>
                <w:szCs w:val="18"/>
              </w:rPr>
              <w:t>+</w:t>
            </w:r>
          </w:p>
        </w:tc>
        <w:tc>
          <w:tcPr>
            <w:tcW w:w="1267" w:type="dxa"/>
            <w:shd w:val="clear" w:color="auto" w:fill="D9D9D9" w:themeFill="background1" w:themeFillShade="D9"/>
            <w:vAlign w:val="center"/>
          </w:tcPr>
          <w:p w14:paraId="28291FCF" w14:textId="1461D5F5" w:rsidR="004521F1" w:rsidRPr="004521F1" w:rsidRDefault="004521F1" w:rsidP="00824858">
            <w:pPr>
              <w:jc w:val="center"/>
              <w:rPr>
                <w:rFonts w:cs="Arial"/>
                <w:iCs/>
                <w:sz w:val="18"/>
                <w:szCs w:val="18"/>
              </w:rPr>
            </w:pPr>
            <w:r>
              <w:rPr>
                <w:rFonts w:cs="Arial"/>
                <w:iCs/>
                <w:sz w:val="18"/>
                <w:szCs w:val="18"/>
              </w:rPr>
              <w:t>&lt; LOD</w:t>
            </w:r>
          </w:p>
        </w:tc>
        <w:tc>
          <w:tcPr>
            <w:tcW w:w="1268" w:type="dxa"/>
            <w:shd w:val="clear" w:color="auto" w:fill="D9D9D9" w:themeFill="background1" w:themeFillShade="D9"/>
            <w:vAlign w:val="center"/>
          </w:tcPr>
          <w:p w14:paraId="6C573F72" w14:textId="22F95DA7" w:rsidR="004521F1" w:rsidRPr="004521F1" w:rsidRDefault="004521F1" w:rsidP="00824858">
            <w:pPr>
              <w:jc w:val="center"/>
              <w:rPr>
                <w:rFonts w:cs="Arial"/>
                <w:iCs/>
                <w:sz w:val="18"/>
                <w:szCs w:val="18"/>
              </w:rPr>
            </w:pPr>
            <w:r>
              <w:rPr>
                <w:rFonts w:cs="Arial"/>
                <w:iCs/>
                <w:sz w:val="18"/>
                <w:szCs w:val="18"/>
              </w:rPr>
              <w:t>&lt; LOD</w:t>
            </w:r>
          </w:p>
        </w:tc>
      </w:tr>
      <w:tr w:rsidR="004521F1" w14:paraId="3D031672" w14:textId="5DB003A4" w:rsidTr="00824858">
        <w:trPr>
          <w:trHeight w:val="20"/>
        </w:trPr>
        <w:tc>
          <w:tcPr>
            <w:tcW w:w="1706" w:type="dxa"/>
            <w:vMerge w:val="restart"/>
            <w:vAlign w:val="center"/>
          </w:tcPr>
          <w:p w14:paraId="0AA9F8FA" w14:textId="699BBBF9" w:rsidR="004521F1" w:rsidRPr="004521F1" w:rsidRDefault="000F1E97" w:rsidP="00824858">
            <w:pPr>
              <w:jc w:val="center"/>
              <w:rPr>
                <w:b/>
                <w:iCs/>
                <w:sz w:val="18"/>
              </w:rPr>
            </w:pPr>
            <w:r>
              <w:rPr>
                <w:b/>
                <w:iCs/>
                <w:sz w:val="18"/>
              </w:rPr>
              <w:t>Refined</w:t>
            </w:r>
            <w:r w:rsidR="004521F1" w:rsidRPr="004521F1">
              <w:rPr>
                <w:b/>
                <w:iCs/>
                <w:sz w:val="18"/>
              </w:rPr>
              <w:t xml:space="preserve"> oil</w:t>
            </w:r>
          </w:p>
        </w:tc>
        <w:tc>
          <w:tcPr>
            <w:tcW w:w="1037" w:type="dxa"/>
            <w:vAlign w:val="center"/>
          </w:tcPr>
          <w:p w14:paraId="6EE72B45" w14:textId="7F05C8B9" w:rsidR="004521F1" w:rsidRDefault="004521F1" w:rsidP="00824858">
            <w:pPr>
              <w:jc w:val="center"/>
              <w:rPr>
                <w:rFonts w:cs="Arial"/>
                <w:iCs/>
                <w:sz w:val="18"/>
                <w:szCs w:val="18"/>
              </w:rPr>
            </w:pPr>
            <w:r w:rsidRPr="004521F1">
              <w:rPr>
                <w:rFonts w:cs="Arial"/>
                <w:iCs/>
                <w:sz w:val="28"/>
                <w:szCs w:val="18"/>
              </w:rPr>
              <w:t>-</w:t>
            </w:r>
          </w:p>
        </w:tc>
        <w:tc>
          <w:tcPr>
            <w:tcW w:w="1267" w:type="dxa"/>
            <w:vAlign w:val="center"/>
          </w:tcPr>
          <w:p w14:paraId="5B0CF29B" w14:textId="703719BE" w:rsidR="004521F1" w:rsidRPr="004521F1" w:rsidRDefault="004521F1" w:rsidP="00824858">
            <w:pPr>
              <w:jc w:val="center"/>
              <w:rPr>
                <w:rFonts w:cs="Arial"/>
                <w:iCs/>
                <w:sz w:val="18"/>
                <w:szCs w:val="18"/>
              </w:rPr>
            </w:pPr>
            <w:r>
              <w:rPr>
                <w:rFonts w:cs="Arial"/>
                <w:iCs/>
                <w:sz w:val="18"/>
                <w:szCs w:val="18"/>
              </w:rPr>
              <w:t>&lt; LOD</w:t>
            </w:r>
          </w:p>
        </w:tc>
        <w:tc>
          <w:tcPr>
            <w:tcW w:w="1268" w:type="dxa"/>
            <w:vAlign w:val="center"/>
          </w:tcPr>
          <w:p w14:paraId="44888EAF" w14:textId="16640BD0" w:rsidR="004521F1" w:rsidRPr="004521F1" w:rsidRDefault="004521F1" w:rsidP="00824858">
            <w:pPr>
              <w:jc w:val="center"/>
              <w:rPr>
                <w:rFonts w:cs="Arial"/>
                <w:iCs/>
                <w:sz w:val="18"/>
                <w:szCs w:val="18"/>
              </w:rPr>
            </w:pPr>
            <w:r>
              <w:rPr>
                <w:rFonts w:cs="Arial"/>
                <w:iCs/>
                <w:sz w:val="18"/>
                <w:szCs w:val="18"/>
              </w:rPr>
              <w:t>NA</w:t>
            </w:r>
            <w:r w:rsidR="000F1E97">
              <w:rPr>
                <w:rFonts w:cs="Arial"/>
                <w:iCs/>
                <w:sz w:val="18"/>
                <w:szCs w:val="18"/>
                <w:vertAlign w:val="superscript"/>
              </w:rPr>
              <w:t>4</w:t>
            </w:r>
          </w:p>
        </w:tc>
      </w:tr>
      <w:tr w:rsidR="004521F1" w14:paraId="6EAC93DB" w14:textId="40535578" w:rsidTr="00824858">
        <w:trPr>
          <w:trHeight w:val="20"/>
        </w:trPr>
        <w:tc>
          <w:tcPr>
            <w:tcW w:w="1706" w:type="dxa"/>
            <w:vMerge/>
            <w:vAlign w:val="center"/>
          </w:tcPr>
          <w:p w14:paraId="29427A8D" w14:textId="08A40C14" w:rsidR="004521F1" w:rsidRPr="004521F1" w:rsidRDefault="004521F1" w:rsidP="00824858">
            <w:pPr>
              <w:jc w:val="center"/>
              <w:rPr>
                <w:b/>
                <w:iCs/>
                <w:sz w:val="18"/>
              </w:rPr>
            </w:pPr>
          </w:p>
        </w:tc>
        <w:tc>
          <w:tcPr>
            <w:tcW w:w="1037" w:type="dxa"/>
            <w:vAlign w:val="center"/>
          </w:tcPr>
          <w:p w14:paraId="76643AA0" w14:textId="2674F598" w:rsidR="004521F1" w:rsidRDefault="004521F1" w:rsidP="00824858">
            <w:pPr>
              <w:jc w:val="center"/>
              <w:rPr>
                <w:rFonts w:cs="Arial"/>
                <w:iCs/>
                <w:sz w:val="18"/>
                <w:szCs w:val="18"/>
              </w:rPr>
            </w:pPr>
            <w:r w:rsidRPr="004521F1">
              <w:rPr>
                <w:rFonts w:cs="Arial"/>
                <w:iCs/>
                <w:sz w:val="28"/>
                <w:szCs w:val="18"/>
              </w:rPr>
              <w:t>+</w:t>
            </w:r>
          </w:p>
        </w:tc>
        <w:tc>
          <w:tcPr>
            <w:tcW w:w="1267" w:type="dxa"/>
            <w:vAlign w:val="center"/>
          </w:tcPr>
          <w:p w14:paraId="03791D93" w14:textId="421F64A5" w:rsidR="004521F1" w:rsidRPr="004521F1" w:rsidRDefault="004521F1" w:rsidP="00824858">
            <w:pPr>
              <w:jc w:val="center"/>
              <w:rPr>
                <w:rFonts w:cs="Arial"/>
                <w:iCs/>
                <w:sz w:val="18"/>
                <w:szCs w:val="18"/>
              </w:rPr>
            </w:pPr>
            <w:r>
              <w:rPr>
                <w:rFonts w:cs="Arial"/>
                <w:iCs/>
                <w:sz w:val="18"/>
                <w:szCs w:val="18"/>
              </w:rPr>
              <w:t>&lt; LOD</w:t>
            </w:r>
          </w:p>
        </w:tc>
        <w:tc>
          <w:tcPr>
            <w:tcW w:w="1268" w:type="dxa"/>
            <w:vAlign w:val="center"/>
          </w:tcPr>
          <w:p w14:paraId="5802B89B" w14:textId="7F70F25D" w:rsidR="004521F1" w:rsidRPr="004521F1" w:rsidRDefault="004521F1" w:rsidP="00824858">
            <w:pPr>
              <w:jc w:val="center"/>
              <w:rPr>
                <w:rFonts w:cs="Arial"/>
                <w:iCs/>
                <w:sz w:val="18"/>
                <w:szCs w:val="18"/>
              </w:rPr>
            </w:pPr>
            <w:r>
              <w:rPr>
                <w:rFonts w:cs="Arial"/>
                <w:iCs/>
                <w:sz w:val="18"/>
                <w:szCs w:val="18"/>
              </w:rPr>
              <w:t>NA</w:t>
            </w:r>
          </w:p>
        </w:tc>
      </w:tr>
      <w:tr w:rsidR="004521F1" w14:paraId="36D184D2" w14:textId="1DE399CD" w:rsidTr="00824858">
        <w:trPr>
          <w:trHeight w:val="20"/>
        </w:trPr>
        <w:tc>
          <w:tcPr>
            <w:tcW w:w="1706" w:type="dxa"/>
            <w:vMerge w:val="restart"/>
            <w:shd w:val="clear" w:color="auto" w:fill="D9D9D9" w:themeFill="background1" w:themeFillShade="D9"/>
            <w:vAlign w:val="center"/>
          </w:tcPr>
          <w:p w14:paraId="3A80DA26" w14:textId="60EB6ADF" w:rsidR="004521F1" w:rsidRPr="004521F1" w:rsidRDefault="004521F1" w:rsidP="00824858">
            <w:pPr>
              <w:jc w:val="center"/>
              <w:rPr>
                <w:b/>
                <w:iCs/>
                <w:sz w:val="18"/>
              </w:rPr>
            </w:pPr>
            <w:r w:rsidRPr="004521F1">
              <w:rPr>
                <w:b/>
                <w:iCs/>
                <w:sz w:val="18"/>
              </w:rPr>
              <w:t>Protein isolate</w:t>
            </w:r>
          </w:p>
        </w:tc>
        <w:tc>
          <w:tcPr>
            <w:tcW w:w="1037" w:type="dxa"/>
            <w:shd w:val="clear" w:color="auto" w:fill="D9D9D9" w:themeFill="background1" w:themeFillShade="D9"/>
            <w:vAlign w:val="center"/>
          </w:tcPr>
          <w:p w14:paraId="4FD942B1" w14:textId="6DA4FF6F" w:rsidR="004521F1" w:rsidRDefault="004521F1" w:rsidP="00824858">
            <w:pPr>
              <w:jc w:val="center"/>
              <w:rPr>
                <w:rFonts w:cs="Arial"/>
                <w:iCs/>
                <w:sz w:val="18"/>
                <w:szCs w:val="18"/>
              </w:rPr>
            </w:pPr>
            <w:r w:rsidRPr="004521F1">
              <w:rPr>
                <w:rFonts w:cs="Arial"/>
                <w:iCs/>
                <w:sz w:val="28"/>
                <w:szCs w:val="18"/>
              </w:rPr>
              <w:t>-</w:t>
            </w:r>
          </w:p>
        </w:tc>
        <w:tc>
          <w:tcPr>
            <w:tcW w:w="1267" w:type="dxa"/>
            <w:shd w:val="clear" w:color="auto" w:fill="D9D9D9" w:themeFill="background1" w:themeFillShade="D9"/>
            <w:vAlign w:val="center"/>
          </w:tcPr>
          <w:p w14:paraId="78295AFE" w14:textId="2F14E756" w:rsidR="004521F1" w:rsidRPr="004521F1" w:rsidRDefault="004521F1" w:rsidP="00824858">
            <w:pPr>
              <w:jc w:val="center"/>
              <w:rPr>
                <w:rFonts w:cs="Arial"/>
                <w:iCs/>
                <w:sz w:val="18"/>
                <w:szCs w:val="18"/>
              </w:rPr>
            </w:pPr>
            <w:r>
              <w:rPr>
                <w:rFonts w:cs="Arial"/>
                <w:iCs/>
                <w:sz w:val="18"/>
                <w:szCs w:val="18"/>
              </w:rPr>
              <w:t>&lt; LOD</w:t>
            </w:r>
          </w:p>
        </w:tc>
        <w:tc>
          <w:tcPr>
            <w:tcW w:w="1268" w:type="dxa"/>
            <w:shd w:val="clear" w:color="auto" w:fill="D9D9D9" w:themeFill="background1" w:themeFillShade="D9"/>
            <w:vAlign w:val="center"/>
          </w:tcPr>
          <w:p w14:paraId="3F900DC3" w14:textId="24941B63" w:rsidR="004521F1" w:rsidRPr="004521F1" w:rsidRDefault="004521F1" w:rsidP="00824858">
            <w:pPr>
              <w:jc w:val="center"/>
              <w:rPr>
                <w:rFonts w:cs="Arial"/>
                <w:iCs/>
                <w:sz w:val="18"/>
                <w:szCs w:val="18"/>
              </w:rPr>
            </w:pPr>
            <w:r>
              <w:rPr>
                <w:rFonts w:cs="Arial"/>
                <w:iCs/>
                <w:sz w:val="18"/>
                <w:szCs w:val="18"/>
              </w:rPr>
              <w:t>&lt; LOD</w:t>
            </w:r>
          </w:p>
        </w:tc>
      </w:tr>
      <w:tr w:rsidR="004521F1" w14:paraId="67923C70" w14:textId="74FDAB04" w:rsidTr="00824858">
        <w:trPr>
          <w:trHeight w:val="20"/>
        </w:trPr>
        <w:tc>
          <w:tcPr>
            <w:tcW w:w="1706" w:type="dxa"/>
            <w:vMerge/>
            <w:shd w:val="clear" w:color="auto" w:fill="D9D9D9" w:themeFill="background1" w:themeFillShade="D9"/>
            <w:vAlign w:val="center"/>
          </w:tcPr>
          <w:p w14:paraId="0BB611C9" w14:textId="504A1CAD" w:rsidR="004521F1" w:rsidRPr="004521F1" w:rsidRDefault="004521F1" w:rsidP="00824858">
            <w:pPr>
              <w:jc w:val="center"/>
              <w:rPr>
                <w:b/>
                <w:iCs/>
                <w:sz w:val="18"/>
              </w:rPr>
            </w:pPr>
          </w:p>
        </w:tc>
        <w:tc>
          <w:tcPr>
            <w:tcW w:w="1037" w:type="dxa"/>
            <w:shd w:val="clear" w:color="auto" w:fill="D9D9D9" w:themeFill="background1" w:themeFillShade="D9"/>
            <w:vAlign w:val="center"/>
          </w:tcPr>
          <w:p w14:paraId="62D514A0" w14:textId="6A84DC48" w:rsidR="004521F1" w:rsidRDefault="004521F1" w:rsidP="00824858">
            <w:pPr>
              <w:jc w:val="center"/>
              <w:rPr>
                <w:rFonts w:cs="Arial"/>
                <w:iCs/>
                <w:sz w:val="18"/>
                <w:szCs w:val="18"/>
              </w:rPr>
            </w:pPr>
            <w:r w:rsidRPr="004521F1">
              <w:rPr>
                <w:rFonts w:cs="Arial"/>
                <w:iCs/>
                <w:sz w:val="28"/>
                <w:szCs w:val="18"/>
              </w:rPr>
              <w:t>+</w:t>
            </w:r>
          </w:p>
        </w:tc>
        <w:tc>
          <w:tcPr>
            <w:tcW w:w="1267" w:type="dxa"/>
            <w:shd w:val="clear" w:color="auto" w:fill="D9D9D9" w:themeFill="background1" w:themeFillShade="D9"/>
            <w:vAlign w:val="center"/>
          </w:tcPr>
          <w:p w14:paraId="75DB6D54" w14:textId="6CE482D4" w:rsidR="004521F1" w:rsidRPr="004521F1" w:rsidRDefault="004521F1" w:rsidP="00824858">
            <w:pPr>
              <w:jc w:val="center"/>
              <w:rPr>
                <w:rFonts w:cs="Arial"/>
                <w:iCs/>
                <w:sz w:val="18"/>
                <w:szCs w:val="18"/>
              </w:rPr>
            </w:pPr>
            <w:r>
              <w:rPr>
                <w:rFonts w:cs="Arial"/>
                <w:iCs/>
                <w:sz w:val="18"/>
                <w:szCs w:val="18"/>
              </w:rPr>
              <w:t>&lt; LOD</w:t>
            </w:r>
          </w:p>
        </w:tc>
        <w:tc>
          <w:tcPr>
            <w:tcW w:w="1268" w:type="dxa"/>
            <w:shd w:val="clear" w:color="auto" w:fill="D9D9D9" w:themeFill="background1" w:themeFillShade="D9"/>
            <w:vAlign w:val="center"/>
          </w:tcPr>
          <w:p w14:paraId="4296B62F" w14:textId="10460D9C" w:rsidR="004521F1" w:rsidRPr="004521F1" w:rsidRDefault="004521F1" w:rsidP="00824858">
            <w:pPr>
              <w:jc w:val="center"/>
              <w:rPr>
                <w:rFonts w:cs="Arial"/>
                <w:iCs/>
                <w:sz w:val="18"/>
                <w:szCs w:val="18"/>
              </w:rPr>
            </w:pPr>
            <w:r>
              <w:rPr>
                <w:rFonts w:cs="Arial"/>
                <w:iCs/>
                <w:sz w:val="18"/>
                <w:szCs w:val="18"/>
              </w:rPr>
              <w:t>&lt; LOD</w:t>
            </w:r>
          </w:p>
        </w:tc>
      </w:tr>
      <w:tr w:rsidR="004521F1" w14:paraId="041CEC71" w14:textId="659093F8" w:rsidTr="00824858">
        <w:trPr>
          <w:trHeight w:val="20"/>
        </w:trPr>
        <w:tc>
          <w:tcPr>
            <w:tcW w:w="1706" w:type="dxa"/>
            <w:vMerge w:val="restart"/>
            <w:shd w:val="clear" w:color="auto" w:fill="auto"/>
            <w:vAlign w:val="center"/>
          </w:tcPr>
          <w:p w14:paraId="1EE13C9D" w14:textId="54A670E6" w:rsidR="004521F1" w:rsidRPr="004521F1" w:rsidRDefault="004521F1" w:rsidP="00824858">
            <w:pPr>
              <w:jc w:val="center"/>
              <w:rPr>
                <w:b/>
                <w:sz w:val="18"/>
              </w:rPr>
            </w:pPr>
            <w:r w:rsidRPr="004521F1">
              <w:rPr>
                <w:b/>
                <w:sz w:val="18"/>
              </w:rPr>
              <w:t>Hulls</w:t>
            </w:r>
          </w:p>
        </w:tc>
        <w:tc>
          <w:tcPr>
            <w:tcW w:w="1037" w:type="dxa"/>
            <w:vAlign w:val="center"/>
          </w:tcPr>
          <w:p w14:paraId="7B05570A" w14:textId="20EE1751" w:rsidR="004521F1" w:rsidRDefault="004521F1" w:rsidP="00824858">
            <w:pPr>
              <w:jc w:val="center"/>
              <w:rPr>
                <w:rFonts w:cs="Arial"/>
                <w:iCs/>
                <w:sz w:val="18"/>
                <w:szCs w:val="18"/>
              </w:rPr>
            </w:pPr>
            <w:r w:rsidRPr="004521F1">
              <w:rPr>
                <w:rFonts w:cs="Arial"/>
                <w:iCs/>
                <w:sz w:val="28"/>
                <w:szCs w:val="18"/>
              </w:rPr>
              <w:t>-</w:t>
            </w:r>
          </w:p>
        </w:tc>
        <w:tc>
          <w:tcPr>
            <w:tcW w:w="1267" w:type="dxa"/>
            <w:vAlign w:val="center"/>
          </w:tcPr>
          <w:p w14:paraId="2F4E7834" w14:textId="047206F6" w:rsidR="004521F1" w:rsidRPr="004521F1" w:rsidRDefault="004521F1" w:rsidP="00824858">
            <w:pPr>
              <w:jc w:val="center"/>
              <w:rPr>
                <w:rFonts w:cs="Arial"/>
                <w:iCs/>
                <w:sz w:val="18"/>
                <w:szCs w:val="18"/>
              </w:rPr>
            </w:pPr>
            <w:r>
              <w:rPr>
                <w:rFonts w:cs="Arial"/>
                <w:iCs/>
                <w:sz w:val="18"/>
                <w:szCs w:val="18"/>
              </w:rPr>
              <w:t>20.90</w:t>
            </w:r>
          </w:p>
        </w:tc>
        <w:tc>
          <w:tcPr>
            <w:tcW w:w="1268" w:type="dxa"/>
            <w:vAlign w:val="center"/>
          </w:tcPr>
          <w:p w14:paraId="76898514" w14:textId="0EC6F7E3" w:rsidR="004521F1" w:rsidRPr="004521F1" w:rsidRDefault="004521F1" w:rsidP="00824858">
            <w:pPr>
              <w:jc w:val="center"/>
              <w:rPr>
                <w:rFonts w:cs="Arial"/>
                <w:iCs/>
                <w:sz w:val="18"/>
                <w:szCs w:val="18"/>
              </w:rPr>
            </w:pPr>
            <w:r>
              <w:rPr>
                <w:rFonts w:cs="Arial"/>
                <w:iCs/>
                <w:sz w:val="18"/>
                <w:szCs w:val="18"/>
              </w:rPr>
              <w:t>24.24</w:t>
            </w:r>
          </w:p>
        </w:tc>
      </w:tr>
      <w:tr w:rsidR="004521F1" w14:paraId="581065C0" w14:textId="587040E7" w:rsidTr="00824858">
        <w:trPr>
          <w:trHeight w:val="20"/>
        </w:trPr>
        <w:tc>
          <w:tcPr>
            <w:tcW w:w="1706" w:type="dxa"/>
            <w:vMerge/>
            <w:shd w:val="clear" w:color="auto" w:fill="auto"/>
            <w:vAlign w:val="center"/>
          </w:tcPr>
          <w:p w14:paraId="56691E18" w14:textId="104F5ADB" w:rsidR="004521F1" w:rsidRDefault="004521F1" w:rsidP="00824858">
            <w:pPr>
              <w:jc w:val="center"/>
              <w:rPr>
                <w:b/>
                <w:sz w:val="20"/>
              </w:rPr>
            </w:pPr>
          </w:p>
        </w:tc>
        <w:tc>
          <w:tcPr>
            <w:tcW w:w="1037" w:type="dxa"/>
            <w:vAlign w:val="center"/>
          </w:tcPr>
          <w:p w14:paraId="19B45E1B" w14:textId="0DB007B6" w:rsidR="004521F1" w:rsidRDefault="004521F1" w:rsidP="00824858">
            <w:pPr>
              <w:jc w:val="center"/>
              <w:rPr>
                <w:rFonts w:cs="Arial"/>
                <w:iCs/>
                <w:sz w:val="18"/>
                <w:szCs w:val="18"/>
              </w:rPr>
            </w:pPr>
            <w:r w:rsidRPr="004521F1">
              <w:rPr>
                <w:rFonts w:cs="Arial"/>
                <w:iCs/>
                <w:sz w:val="28"/>
                <w:szCs w:val="18"/>
              </w:rPr>
              <w:t>+</w:t>
            </w:r>
          </w:p>
        </w:tc>
        <w:tc>
          <w:tcPr>
            <w:tcW w:w="1267" w:type="dxa"/>
            <w:vAlign w:val="center"/>
          </w:tcPr>
          <w:p w14:paraId="45B0543F" w14:textId="15313032" w:rsidR="004521F1" w:rsidRPr="004521F1" w:rsidRDefault="004521F1" w:rsidP="00824858">
            <w:pPr>
              <w:jc w:val="center"/>
              <w:rPr>
                <w:rFonts w:cs="Arial"/>
                <w:iCs/>
                <w:sz w:val="18"/>
                <w:szCs w:val="18"/>
              </w:rPr>
            </w:pPr>
            <w:r>
              <w:rPr>
                <w:rFonts w:cs="Arial"/>
                <w:iCs/>
                <w:sz w:val="18"/>
                <w:szCs w:val="18"/>
              </w:rPr>
              <w:t>23.50</w:t>
            </w:r>
          </w:p>
        </w:tc>
        <w:tc>
          <w:tcPr>
            <w:tcW w:w="1268" w:type="dxa"/>
            <w:vAlign w:val="center"/>
          </w:tcPr>
          <w:p w14:paraId="6576CA7D" w14:textId="14D5A18D" w:rsidR="004521F1" w:rsidRPr="004521F1" w:rsidRDefault="004521F1" w:rsidP="00824858">
            <w:pPr>
              <w:jc w:val="center"/>
              <w:rPr>
                <w:rFonts w:cs="Arial"/>
                <w:iCs/>
                <w:sz w:val="18"/>
                <w:szCs w:val="18"/>
              </w:rPr>
            </w:pPr>
            <w:r>
              <w:rPr>
                <w:rFonts w:cs="Arial"/>
                <w:iCs/>
                <w:sz w:val="18"/>
                <w:szCs w:val="18"/>
              </w:rPr>
              <w:t>26.99</w:t>
            </w:r>
          </w:p>
        </w:tc>
      </w:tr>
    </w:tbl>
    <w:p w14:paraId="64A75DDA" w14:textId="60F3E707" w:rsidR="001705B6" w:rsidRPr="004521F1" w:rsidRDefault="001705B6" w:rsidP="004521F1">
      <w:pPr>
        <w:spacing w:before="60"/>
        <w:ind w:left="567" w:right="3258"/>
        <w:rPr>
          <w:sz w:val="16"/>
          <w:lang w:eastAsia="en-AU" w:bidi="ar-SA"/>
        </w:rPr>
      </w:pPr>
      <w:r w:rsidRPr="004521F1">
        <w:rPr>
          <w:sz w:val="16"/>
          <w:lang w:eastAsia="en-AU" w:bidi="ar-SA"/>
        </w:rPr>
        <w:t xml:space="preserve">1. </w:t>
      </w:r>
      <w:r w:rsidR="004521F1" w:rsidRPr="004521F1">
        <w:rPr>
          <w:sz w:val="16"/>
          <w:lang w:eastAsia="en-AU" w:bidi="ar-SA"/>
        </w:rPr>
        <w:t>FW – fresh weight</w:t>
      </w:r>
      <w:r w:rsidRPr="004521F1">
        <w:rPr>
          <w:sz w:val="16"/>
          <w:lang w:eastAsia="en-AU" w:bidi="ar-SA"/>
        </w:rPr>
        <w:t xml:space="preserve">. 2. DW - dry weight. </w:t>
      </w:r>
      <w:r w:rsidR="004521F1" w:rsidRPr="004521F1">
        <w:rPr>
          <w:sz w:val="16"/>
          <w:lang w:eastAsia="en-AU" w:bidi="ar-SA"/>
        </w:rPr>
        <w:t xml:space="preserve">3. </w:t>
      </w:r>
      <w:r w:rsidR="000F1E97">
        <w:rPr>
          <w:sz w:val="16"/>
          <w:lang w:eastAsia="en-AU" w:bidi="ar-SA"/>
        </w:rPr>
        <w:t xml:space="preserve">&lt; </w:t>
      </w:r>
      <w:r w:rsidR="004521F1" w:rsidRPr="004521F1">
        <w:rPr>
          <w:sz w:val="16"/>
          <w:lang w:eastAsia="en-AU" w:bidi="ar-SA"/>
        </w:rPr>
        <w:t>LOD –</w:t>
      </w:r>
      <w:r w:rsidR="000F1E97">
        <w:rPr>
          <w:sz w:val="16"/>
          <w:lang w:eastAsia="en-AU" w:bidi="ar-SA"/>
        </w:rPr>
        <w:t xml:space="preserve"> below the</w:t>
      </w:r>
      <w:r w:rsidR="004521F1" w:rsidRPr="004521F1">
        <w:rPr>
          <w:sz w:val="16"/>
          <w:lang w:eastAsia="en-AU" w:bidi="ar-SA"/>
        </w:rPr>
        <w:t xml:space="preserve"> limit of detection</w:t>
      </w:r>
      <w:r w:rsidR="000F1E97">
        <w:rPr>
          <w:sz w:val="16"/>
          <w:lang w:eastAsia="en-AU" w:bidi="ar-SA"/>
        </w:rPr>
        <w:t xml:space="preserve"> for the assay</w:t>
      </w:r>
      <w:r w:rsidR="004521F1" w:rsidRPr="004521F1">
        <w:rPr>
          <w:sz w:val="16"/>
          <w:lang w:eastAsia="en-AU" w:bidi="ar-SA"/>
        </w:rPr>
        <w:t>. 4. NA – not applicable.</w:t>
      </w:r>
    </w:p>
    <w:p w14:paraId="1CEF3161" w14:textId="77777777" w:rsidR="004028B2" w:rsidRDefault="004028B2" w:rsidP="004028B2">
      <w:pPr>
        <w:rPr>
          <w:lang w:eastAsia="en-AU" w:bidi="ar-SA"/>
        </w:rPr>
      </w:pPr>
    </w:p>
    <w:p w14:paraId="2AC83EBA" w14:textId="67DFD0AA" w:rsidR="005F67DC" w:rsidRDefault="005F67DC" w:rsidP="00221257">
      <w:pPr>
        <w:pStyle w:val="Heading3"/>
      </w:pPr>
      <w:bookmarkStart w:id="158" w:name="_Toc34824987"/>
      <w:r>
        <w:t>4.1.3</w:t>
      </w:r>
      <w:r w:rsidRPr="00262CF4">
        <w:tab/>
      </w:r>
      <w:r>
        <w:t xml:space="preserve">Safety of </w:t>
      </w:r>
      <w:r w:rsidR="004D504D">
        <w:t>Cry14Ab1</w:t>
      </w:r>
      <w:r w:rsidRPr="00262CF4">
        <w:t xml:space="preserve"> </w:t>
      </w:r>
      <w:r>
        <w:t>in GMB151 grain</w:t>
      </w:r>
      <w:bookmarkEnd w:id="158"/>
    </w:p>
    <w:p w14:paraId="5EF29ACF" w14:textId="2FB7929A" w:rsidR="005F67DC" w:rsidRPr="00C90674" w:rsidRDefault="005F67DC" w:rsidP="00221257">
      <w:pPr>
        <w:pStyle w:val="Heading3"/>
        <w:rPr>
          <w:rFonts w:eastAsia="Batang"/>
        </w:rPr>
      </w:pPr>
      <w:r>
        <w:rPr>
          <w:rFonts w:eastAsia="Batang"/>
        </w:rPr>
        <w:t xml:space="preserve">Bioinformatic analyses of </w:t>
      </w:r>
      <w:r w:rsidR="004D504D">
        <w:rPr>
          <w:rFonts w:eastAsia="Batang"/>
        </w:rPr>
        <w:t>Cry14Ab1</w:t>
      </w:r>
    </w:p>
    <w:p w14:paraId="1C29D649" w14:textId="6C891AE6" w:rsidR="005F67DC" w:rsidRPr="00C4763C" w:rsidRDefault="005F67DC" w:rsidP="005F67DC">
      <w:pPr>
        <w:rPr>
          <w:lang w:bidi="ar-SA"/>
        </w:rPr>
      </w:pPr>
      <w:r w:rsidRPr="00C4763C">
        <w:rPr>
          <w:lang w:bidi="ar-SA"/>
        </w:rPr>
        <w:t xml:space="preserve">The </w:t>
      </w:r>
      <w:r w:rsidR="006B4590">
        <w:rPr>
          <w:lang w:bidi="ar-SA"/>
        </w:rPr>
        <w:t>A</w:t>
      </w:r>
      <w:r w:rsidR="005934BB">
        <w:rPr>
          <w:lang w:bidi="ar-SA"/>
        </w:rPr>
        <w:t>pplicant</w:t>
      </w:r>
      <w:r w:rsidRPr="00C4763C">
        <w:rPr>
          <w:lang w:bidi="ar-SA"/>
        </w:rPr>
        <w:t xml:space="preserve"> provided the results of </w:t>
      </w:r>
      <w:r w:rsidRPr="00C4763C">
        <w:rPr>
          <w:i/>
          <w:lang w:bidi="ar-SA"/>
        </w:rPr>
        <w:t>in silico</w:t>
      </w:r>
      <w:r w:rsidRPr="00C4763C">
        <w:rPr>
          <w:lang w:bidi="ar-SA"/>
        </w:rPr>
        <w:t xml:space="preserve"> analyses comparing the </w:t>
      </w:r>
      <w:r w:rsidR="004D504D">
        <w:rPr>
          <w:lang w:bidi="ar-SA"/>
        </w:rPr>
        <w:t>Cry14Ab1</w:t>
      </w:r>
      <w:r w:rsidRPr="00C4763C">
        <w:rPr>
          <w:lang w:bidi="ar-SA"/>
        </w:rPr>
        <w:t xml:space="preserve"> amino acid sequence to known allergenic proteins in the COMPARE dataset, using the same search criteria as outlined in </w:t>
      </w:r>
      <w:hyperlink w:anchor="_3.4.5.1__Bioinformatic" w:history="1">
        <w:r w:rsidRPr="00DC12DE">
          <w:rPr>
            <w:rStyle w:val="Hyperlink"/>
            <w:lang w:bidi="ar-SA"/>
          </w:rPr>
          <w:t>Section 3.4.5.1</w:t>
        </w:r>
      </w:hyperlink>
      <w:r w:rsidRPr="00C4763C">
        <w:rPr>
          <w:lang w:bidi="ar-SA"/>
        </w:rPr>
        <w:t xml:space="preserve">. The search did not identify any known allergens with homology to </w:t>
      </w:r>
      <w:r w:rsidR="004D504D">
        <w:rPr>
          <w:lang w:bidi="ar-SA"/>
        </w:rPr>
        <w:t>Cry14Ab1</w:t>
      </w:r>
      <w:r w:rsidRPr="00C4763C">
        <w:rPr>
          <w:lang w:bidi="ar-SA"/>
        </w:rPr>
        <w:t>.</w:t>
      </w:r>
    </w:p>
    <w:p w14:paraId="0C0E7541" w14:textId="77777777" w:rsidR="005F67DC" w:rsidRPr="00816E71" w:rsidRDefault="005F67DC" w:rsidP="005F67DC">
      <w:pPr>
        <w:rPr>
          <w:highlight w:val="yellow"/>
          <w:lang w:bidi="ar-SA"/>
        </w:rPr>
      </w:pPr>
    </w:p>
    <w:p w14:paraId="21B50413" w14:textId="5D26D6CC" w:rsidR="005F67DC" w:rsidRDefault="005F67DC" w:rsidP="005F67DC">
      <w:pPr>
        <w:rPr>
          <w:lang w:bidi="ar-SA"/>
        </w:rPr>
      </w:pPr>
      <w:r w:rsidRPr="00C4763C">
        <w:rPr>
          <w:lang w:bidi="ar-SA"/>
        </w:rPr>
        <w:t xml:space="preserve">The </w:t>
      </w:r>
      <w:r w:rsidR="006B4590">
        <w:rPr>
          <w:lang w:bidi="ar-SA"/>
        </w:rPr>
        <w:t>A</w:t>
      </w:r>
      <w:r w:rsidR="005934BB">
        <w:rPr>
          <w:lang w:bidi="ar-SA"/>
        </w:rPr>
        <w:t>pplicant</w:t>
      </w:r>
      <w:r w:rsidRPr="00C4763C">
        <w:rPr>
          <w:lang w:bidi="ar-SA"/>
        </w:rPr>
        <w:t xml:space="preserve"> also provided the results of </w:t>
      </w:r>
      <w:r w:rsidRPr="00C4763C">
        <w:rPr>
          <w:i/>
          <w:lang w:bidi="ar-SA"/>
        </w:rPr>
        <w:t>in silico</w:t>
      </w:r>
      <w:r w:rsidRPr="00C4763C">
        <w:rPr>
          <w:lang w:bidi="ar-SA"/>
        </w:rPr>
        <w:t xml:space="preserve"> analyses comparing the amino acid sequence of </w:t>
      </w:r>
      <w:r w:rsidR="004D504D">
        <w:rPr>
          <w:lang w:bidi="ar-SA"/>
        </w:rPr>
        <w:t>Cry14Ab1</w:t>
      </w:r>
      <w:r w:rsidRPr="00C4763C">
        <w:rPr>
          <w:lang w:bidi="ar-SA"/>
        </w:rPr>
        <w:t xml:space="preserve"> to proteins identified as “toxins” from the NCBI protein databases.</w:t>
      </w:r>
      <w:r w:rsidR="00C4763C" w:rsidRPr="00C4763C">
        <w:rPr>
          <w:lang w:bidi="ar-SA"/>
        </w:rPr>
        <w:t xml:space="preserve"> </w:t>
      </w:r>
      <w:r w:rsidR="004D504D">
        <w:rPr>
          <w:lang w:bidi="ar-SA"/>
        </w:rPr>
        <w:t>As expected, t</w:t>
      </w:r>
      <w:r w:rsidR="00C4763C" w:rsidRPr="00C4763C">
        <w:rPr>
          <w:lang w:bidi="ar-SA"/>
        </w:rPr>
        <w:t xml:space="preserve">he </w:t>
      </w:r>
      <w:r w:rsidR="004D504D">
        <w:rPr>
          <w:lang w:bidi="ar-SA"/>
        </w:rPr>
        <w:t xml:space="preserve">top 1000 proteins matched </w:t>
      </w:r>
      <w:r w:rsidR="00303C07">
        <w:rPr>
          <w:lang w:bidi="ar-SA"/>
        </w:rPr>
        <w:t xml:space="preserve">other documented </w:t>
      </w:r>
      <w:r w:rsidR="004D504D">
        <w:rPr>
          <w:lang w:bidi="ar-SA"/>
        </w:rPr>
        <w:t xml:space="preserve">Cry proteins in </w:t>
      </w:r>
      <w:r w:rsidR="004D504D" w:rsidRPr="00B375A3">
        <w:rPr>
          <w:i/>
          <w:lang w:bidi="ar-SA"/>
        </w:rPr>
        <w:t>B. thuringiensis</w:t>
      </w:r>
      <w:r w:rsidR="004D504D">
        <w:rPr>
          <w:lang w:bidi="ar-SA"/>
        </w:rPr>
        <w:t xml:space="preserve"> </w:t>
      </w:r>
      <w:r w:rsidR="00B375A3">
        <w:rPr>
          <w:lang w:bidi="ar-SA"/>
        </w:rPr>
        <w:t xml:space="preserve">and other </w:t>
      </w:r>
      <w:r w:rsidR="00B375A3" w:rsidRPr="00B375A3">
        <w:rPr>
          <w:i/>
          <w:lang w:bidi="ar-SA"/>
        </w:rPr>
        <w:t>Bacillus</w:t>
      </w:r>
      <w:r w:rsidR="00B375A3">
        <w:rPr>
          <w:lang w:bidi="ar-SA"/>
        </w:rPr>
        <w:t xml:space="preserve"> strains.</w:t>
      </w:r>
      <w:r w:rsidR="004D504D">
        <w:rPr>
          <w:lang w:bidi="ar-SA"/>
        </w:rPr>
        <w:t xml:space="preserve"> </w:t>
      </w:r>
      <w:r w:rsidR="00B375A3">
        <w:rPr>
          <w:lang w:bidi="ar-SA"/>
        </w:rPr>
        <w:t xml:space="preserve">The </w:t>
      </w:r>
      <w:r w:rsidR="00376F2E">
        <w:rPr>
          <w:lang w:bidi="ar-SA"/>
        </w:rPr>
        <w:t xml:space="preserve">degree of </w:t>
      </w:r>
      <w:r w:rsidR="00B375A3">
        <w:rPr>
          <w:lang w:bidi="ar-SA"/>
        </w:rPr>
        <w:t>similarity of the</w:t>
      </w:r>
      <w:r w:rsidR="00376F2E">
        <w:rPr>
          <w:lang w:bidi="ar-SA"/>
        </w:rPr>
        <w:t xml:space="preserve"> Cry</w:t>
      </w:r>
      <w:r w:rsidR="00B375A3">
        <w:rPr>
          <w:lang w:bidi="ar-SA"/>
        </w:rPr>
        <w:t xml:space="preserve"> proteins</w:t>
      </w:r>
      <w:r w:rsidR="00376F2E">
        <w:rPr>
          <w:lang w:bidi="ar-SA"/>
        </w:rPr>
        <w:t xml:space="preserve"> was associated with the known target group of the proteins. For other nematocidal proteins, the sequence similarity</w:t>
      </w:r>
      <w:r w:rsidR="00B375A3">
        <w:rPr>
          <w:lang w:bidi="ar-SA"/>
        </w:rPr>
        <w:t xml:space="preserve"> ranged from 100% for the Cry14Ab1 protein to 20% for a Cry30-like protein. </w:t>
      </w:r>
      <w:r w:rsidR="00376F2E">
        <w:rPr>
          <w:lang w:bidi="ar-SA"/>
        </w:rPr>
        <w:t xml:space="preserve">Similarity to Cry1 and Cry2 proteins, targeting Lepidoptera, was low. </w:t>
      </w:r>
      <w:r w:rsidR="00B375A3">
        <w:rPr>
          <w:lang w:bidi="ar-SA"/>
        </w:rPr>
        <w:t xml:space="preserve">Comparison of the Cry14Ab1 sequence to a toxin-specific database did not </w:t>
      </w:r>
      <w:r w:rsidR="000C7973">
        <w:rPr>
          <w:lang w:bidi="ar-SA"/>
        </w:rPr>
        <w:t xml:space="preserve">identify toxins </w:t>
      </w:r>
      <w:r w:rsidR="00376F2E">
        <w:rPr>
          <w:lang w:bidi="ar-SA"/>
        </w:rPr>
        <w:t>of concern for humans or other mammals.</w:t>
      </w:r>
    </w:p>
    <w:p w14:paraId="386A0EFD" w14:textId="00CB2231" w:rsidR="005F67DC" w:rsidRDefault="005F67DC" w:rsidP="00221257">
      <w:pPr>
        <w:pStyle w:val="Heading3"/>
      </w:pPr>
      <w:bookmarkStart w:id="159" w:name="_Structural_stability_after"/>
      <w:bookmarkEnd w:id="159"/>
      <w:r>
        <w:t>Structural stability afte</w:t>
      </w:r>
      <w:r w:rsidR="00770811">
        <w:t>r exposure to heat and digestive enzymes</w:t>
      </w:r>
    </w:p>
    <w:p w14:paraId="40862444" w14:textId="59FD0277" w:rsidR="005F67DC" w:rsidRDefault="005F67DC" w:rsidP="005F67DC">
      <w:pPr>
        <w:rPr>
          <w:lang w:bidi="ar-SA"/>
        </w:rPr>
      </w:pPr>
      <w:r>
        <w:rPr>
          <w:lang w:bidi="ar-SA"/>
        </w:rPr>
        <w:t xml:space="preserve">Bacterial-produced </w:t>
      </w:r>
      <w:r w:rsidR="004D504D">
        <w:rPr>
          <w:lang w:bidi="ar-SA"/>
        </w:rPr>
        <w:t>Cry14Ab1</w:t>
      </w:r>
      <w:r>
        <w:rPr>
          <w:lang w:bidi="ar-SA"/>
        </w:rPr>
        <w:t xml:space="preserve"> protein w</w:t>
      </w:r>
      <w:r w:rsidR="00E87D08">
        <w:rPr>
          <w:lang w:bidi="ar-SA"/>
        </w:rPr>
        <w:t>as incubated</w:t>
      </w:r>
      <w:r>
        <w:rPr>
          <w:lang w:bidi="ar-SA"/>
        </w:rPr>
        <w:t xml:space="preserve"> for 30 min at temperatures </w:t>
      </w:r>
      <w:r w:rsidRPr="00E87D08">
        <w:rPr>
          <w:lang w:bidi="ar-SA"/>
        </w:rPr>
        <w:t>ranging from 25-95</w:t>
      </w:r>
      <w:r w:rsidRPr="00E87D08">
        <w:rPr>
          <w:rFonts w:ascii="Calibri" w:hAnsi="Calibri"/>
          <w:lang w:bidi="ar-SA"/>
        </w:rPr>
        <w:t>°</w:t>
      </w:r>
      <w:r w:rsidRPr="00E87D08">
        <w:rPr>
          <w:lang w:bidi="ar-SA"/>
        </w:rPr>
        <w:t>C.</w:t>
      </w:r>
      <w:r>
        <w:rPr>
          <w:lang w:bidi="ar-SA"/>
        </w:rPr>
        <w:t xml:space="preserve"> A control sample was kept at 4</w:t>
      </w:r>
      <w:r>
        <w:rPr>
          <w:rFonts w:ascii="Calibri" w:hAnsi="Calibri"/>
          <w:lang w:bidi="ar-SA"/>
        </w:rPr>
        <w:t>°</w:t>
      </w:r>
      <w:r>
        <w:rPr>
          <w:lang w:bidi="ar-SA"/>
        </w:rPr>
        <w:t xml:space="preserve">C. An aliquot of the control and </w:t>
      </w:r>
      <w:r w:rsidR="001B6081">
        <w:rPr>
          <w:lang w:bidi="ar-SA"/>
        </w:rPr>
        <w:t xml:space="preserve">heated </w:t>
      </w:r>
      <w:r>
        <w:rPr>
          <w:lang w:bidi="ar-SA"/>
        </w:rPr>
        <w:t>protein samples were run on SDS-PAGE and stained with Coomassie Blue or analysed by western blotting. In both the Coomassie stained gels and western blots, no visible degradation or decrease in band intensity was observed in the control (4</w:t>
      </w:r>
      <w:r>
        <w:rPr>
          <w:rFonts w:ascii="Calibri" w:hAnsi="Calibri"/>
          <w:lang w:bidi="ar-SA"/>
        </w:rPr>
        <w:t>°</w:t>
      </w:r>
      <w:r>
        <w:rPr>
          <w:lang w:bidi="ar-SA"/>
        </w:rPr>
        <w:t>C), 25, 37 or 55</w:t>
      </w:r>
      <w:r>
        <w:rPr>
          <w:rFonts w:ascii="Calibri" w:hAnsi="Calibri"/>
          <w:lang w:bidi="ar-SA"/>
        </w:rPr>
        <w:t>°</w:t>
      </w:r>
      <w:r>
        <w:rPr>
          <w:lang w:bidi="ar-SA"/>
        </w:rPr>
        <w:t>C treated samples, however there were observable loss of band intensity in the 75 and 95</w:t>
      </w:r>
      <w:r>
        <w:rPr>
          <w:rFonts w:ascii="Calibri" w:hAnsi="Calibri"/>
          <w:lang w:bidi="ar-SA"/>
        </w:rPr>
        <w:t>°</w:t>
      </w:r>
      <w:r>
        <w:rPr>
          <w:lang w:bidi="ar-SA"/>
        </w:rPr>
        <w:t xml:space="preserve">C treated samples. These data indicate that the </w:t>
      </w:r>
      <w:r w:rsidR="004D504D">
        <w:rPr>
          <w:lang w:bidi="ar-SA"/>
        </w:rPr>
        <w:t>Cry14Ab1</w:t>
      </w:r>
      <w:r>
        <w:rPr>
          <w:lang w:bidi="ar-SA"/>
        </w:rPr>
        <w:t xml:space="preserve"> protein is heat labile at temperatures from 75</w:t>
      </w:r>
      <w:r>
        <w:rPr>
          <w:rFonts w:ascii="Calibri" w:hAnsi="Calibri"/>
          <w:lang w:bidi="ar-SA"/>
        </w:rPr>
        <w:t>°</w:t>
      </w:r>
      <w:r>
        <w:rPr>
          <w:lang w:bidi="ar-SA"/>
        </w:rPr>
        <w:t>C and above.</w:t>
      </w:r>
    </w:p>
    <w:p w14:paraId="752A134D" w14:textId="4810A27E" w:rsidR="005F67DC" w:rsidRDefault="005F67DC" w:rsidP="005F67DC">
      <w:pPr>
        <w:rPr>
          <w:lang w:bidi="ar-SA"/>
        </w:rPr>
      </w:pPr>
    </w:p>
    <w:p w14:paraId="48B5F17A" w14:textId="360A8959" w:rsidR="008B1630" w:rsidRDefault="008B1630" w:rsidP="008B1630">
      <w:pPr>
        <w:rPr>
          <w:lang w:bidi="ar-SA"/>
        </w:rPr>
      </w:pPr>
      <w:r>
        <w:rPr>
          <w:lang w:bidi="ar-SA"/>
        </w:rPr>
        <w:t xml:space="preserve">Bacterial-produced </w:t>
      </w:r>
      <w:r w:rsidR="004D504D">
        <w:rPr>
          <w:lang w:bidi="ar-SA"/>
        </w:rPr>
        <w:t>Cry14Ab1</w:t>
      </w:r>
      <w:r>
        <w:rPr>
          <w:lang w:bidi="ar-SA"/>
        </w:rPr>
        <w:t xml:space="preserve"> protein (test protein) was incubated with </w:t>
      </w:r>
      <w:r w:rsidR="00816E71">
        <w:rPr>
          <w:lang w:bidi="ar-SA"/>
        </w:rPr>
        <w:t xml:space="preserve">porcine </w:t>
      </w:r>
      <w:r>
        <w:rPr>
          <w:lang w:bidi="ar-SA"/>
        </w:rPr>
        <w:t>pepsin (10U enzyme/</w:t>
      </w:r>
      <w:r>
        <w:rPr>
          <w:rFonts w:cs="Arial"/>
          <w:lang w:bidi="ar-SA"/>
        </w:rPr>
        <w:t>μ</w:t>
      </w:r>
      <w:r>
        <w:rPr>
          <w:lang w:bidi="ar-SA"/>
        </w:rPr>
        <w:t xml:space="preserve">g protein) </w:t>
      </w:r>
      <w:r w:rsidR="004833A0">
        <w:rPr>
          <w:lang w:bidi="ar-SA"/>
        </w:rPr>
        <w:t xml:space="preserve">or porcine pancreatin (190 </w:t>
      </w:r>
      <w:r w:rsidR="004833A0">
        <w:rPr>
          <w:rFonts w:cs="Arial"/>
          <w:lang w:bidi="ar-SA"/>
        </w:rPr>
        <w:t>μ</w:t>
      </w:r>
      <w:r w:rsidR="004833A0">
        <w:rPr>
          <w:lang w:bidi="ar-SA"/>
        </w:rPr>
        <w:t>g enzyme/</w:t>
      </w:r>
      <w:r w:rsidR="004833A0">
        <w:rPr>
          <w:rFonts w:cs="Arial"/>
          <w:lang w:bidi="ar-SA"/>
        </w:rPr>
        <w:t>μ</w:t>
      </w:r>
      <w:r w:rsidR="004833A0">
        <w:rPr>
          <w:lang w:bidi="ar-SA"/>
        </w:rPr>
        <w:t xml:space="preserve">g protein) </w:t>
      </w:r>
      <w:r>
        <w:rPr>
          <w:lang w:bidi="ar-SA"/>
        </w:rPr>
        <w:t>at 37</w:t>
      </w:r>
      <w:r>
        <w:rPr>
          <w:rFonts w:ascii="Calibri" w:hAnsi="Calibri"/>
          <w:lang w:bidi="ar-SA"/>
        </w:rPr>
        <w:t>°</w:t>
      </w:r>
      <w:r>
        <w:rPr>
          <w:lang w:bidi="ar-SA"/>
        </w:rPr>
        <w:t>C for 0-60 min, in a simulated gastric fluid (S</w:t>
      </w:r>
      <w:r w:rsidR="004833A0">
        <w:rPr>
          <w:lang w:bidi="ar-SA"/>
        </w:rPr>
        <w:t>GF) system at an acidic pH</w:t>
      </w:r>
      <w:r>
        <w:rPr>
          <w:lang w:bidi="ar-SA"/>
        </w:rPr>
        <w:t xml:space="preserve"> </w:t>
      </w:r>
      <w:r w:rsidR="004833A0">
        <w:rPr>
          <w:lang w:bidi="ar-SA"/>
        </w:rPr>
        <w:t xml:space="preserve">or simulated intestinal fluid (SIF) system at a neutral pH, respectively </w:t>
      </w:r>
      <w:r>
        <w:rPr>
          <w:lang w:bidi="ar-SA"/>
        </w:rPr>
        <w:t>(Thomas et al</w:t>
      </w:r>
      <w:r w:rsidR="00482D46">
        <w:rPr>
          <w:lang w:bidi="ar-SA"/>
        </w:rPr>
        <w:t>.</w:t>
      </w:r>
      <w:r>
        <w:rPr>
          <w:lang w:bidi="ar-SA"/>
        </w:rPr>
        <w:t xml:space="preserve"> 2004). Controls included a no enzyme control (test protein only) and a test protein control (no enzyme) incubated for 0 and 60 min. The extent of digestion was visualised by protein gel staining and western blotting. </w:t>
      </w:r>
      <w:r w:rsidR="002607B9">
        <w:rPr>
          <w:lang w:bidi="ar-SA"/>
        </w:rPr>
        <w:t xml:space="preserve">The LOD for </w:t>
      </w:r>
      <w:r w:rsidR="004D504D">
        <w:rPr>
          <w:lang w:bidi="ar-SA"/>
        </w:rPr>
        <w:t>Cry14Ab1</w:t>
      </w:r>
      <w:r w:rsidR="002607B9">
        <w:rPr>
          <w:lang w:bidi="ar-SA"/>
        </w:rPr>
        <w:t xml:space="preserve"> that can be detected by western blot is 1 ng. </w:t>
      </w:r>
      <w:r w:rsidR="00816E71">
        <w:rPr>
          <w:lang w:bidi="ar-SA"/>
        </w:rPr>
        <w:t xml:space="preserve">Pepsin-sensitive horse radish peroxidase and pepsin-resistant ovalbumin were used </w:t>
      </w:r>
      <w:r w:rsidR="002607B9">
        <w:rPr>
          <w:lang w:bidi="ar-SA"/>
        </w:rPr>
        <w:t>to confirm</w:t>
      </w:r>
      <w:r w:rsidR="00816E71">
        <w:rPr>
          <w:lang w:bidi="ar-SA"/>
        </w:rPr>
        <w:t xml:space="preserve"> pepsin activity.</w:t>
      </w:r>
      <w:r w:rsidR="004833A0">
        <w:rPr>
          <w:lang w:bidi="ar-SA"/>
        </w:rPr>
        <w:t xml:space="preserve"> Pancreatin activity was confirmed with azoalbumin.</w:t>
      </w:r>
    </w:p>
    <w:p w14:paraId="06FD9FE1" w14:textId="77777777" w:rsidR="008B1630" w:rsidRDefault="008B1630" w:rsidP="008B1630">
      <w:pPr>
        <w:rPr>
          <w:lang w:bidi="ar-SA"/>
        </w:rPr>
      </w:pPr>
    </w:p>
    <w:p w14:paraId="10AE53E5" w14:textId="253C6C88" w:rsidR="008B1630" w:rsidRDefault="008B1630" w:rsidP="008B1630">
      <w:pPr>
        <w:rPr>
          <w:lang w:bidi="ar-SA"/>
        </w:rPr>
      </w:pPr>
      <w:r>
        <w:rPr>
          <w:lang w:bidi="ar-SA"/>
        </w:rPr>
        <w:t xml:space="preserve">The results from the pepsin digestions showed that by 0.5 min, there was no visible </w:t>
      </w:r>
      <w:r w:rsidR="004D504D">
        <w:rPr>
          <w:lang w:bidi="ar-SA"/>
        </w:rPr>
        <w:t>Cry14Ab1</w:t>
      </w:r>
      <w:r>
        <w:rPr>
          <w:lang w:bidi="ar-SA"/>
        </w:rPr>
        <w:t xml:space="preserve"> remaining in the reaction mix. There was no loss of band intensity in the no enzyme control incubated for 60 min therefore the loss of protein in the reaction mix indicated that </w:t>
      </w:r>
      <w:r w:rsidR="004D504D">
        <w:rPr>
          <w:lang w:bidi="ar-SA"/>
        </w:rPr>
        <w:t>Cry14Ab1</w:t>
      </w:r>
      <w:r>
        <w:rPr>
          <w:lang w:bidi="ar-SA"/>
        </w:rPr>
        <w:t xml:space="preserve"> was being fully digested by pepsin</w:t>
      </w:r>
      <w:r w:rsidR="00816E71">
        <w:rPr>
          <w:lang w:bidi="ar-SA"/>
        </w:rPr>
        <w:t>.</w:t>
      </w:r>
      <w:r w:rsidR="004833A0" w:rsidRPr="004833A0">
        <w:rPr>
          <w:lang w:bidi="ar-SA"/>
        </w:rPr>
        <w:t xml:space="preserve"> </w:t>
      </w:r>
      <w:r w:rsidR="004833A0">
        <w:rPr>
          <w:lang w:bidi="ar-SA"/>
        </w:rPr>
        <w:t xml:space="preserve">Results from the SIF digestion showed that </w:t>
      </w:r>
      <w:r w:rsidR="004D504D">
        <w:rPr>
          <w:lang w:bidi="ar-SA"/>
        </w:rPr>
        <w:t>Cry14Ab1</w:t>
      </w:r>
      <w:r w:rsidR="004833A0">
        <w:rPr>
          <w:lang w:bidi="ar-SA"/>
        </w:rPr>
        <w:t xml:space="preserve"> was partially resistant to pancreatin digestion. The main </w:t>
      </w:r>
      <w:r w:rsidR="004D504D">
        <w:rPr>
          <w:lang w:bidi="ar-SA"/>
        </w:rPr>
        <w:t>Cry14Ab1</w:t>
      </w:r>
      <w:r w:rsidR="004833A0">
        <w:rPr>
          <w:lang w:bidi="ar-SA"/>
        </w:rPr>
        <w:t xml:space="preserve"> band intensity decreased over time and there was an associated increase in degradation products but there was still presence of full </w:t>
      </w:r>
      <w:r w:rsidR="004D504D">
        <w:rPr>
          <w:lang w:bidi="ar-SA"/>
        </w:rPr>
        <w:t>Cry14Ab1</w:t>
      </w:r>
      <w:r w:rsidR="004833A0">
        <w:rPr>
          <w:lang w:bidi="ar-SA"/>
        </w:rPr>
        <w:t xml:space="preserve"> at 60 min. There was no loss of band intensity in the no enzyme control incubated for 60</w:t>
      </w:r>
      <w:r w:rsidR="0092310B">
        <w:rPr>
          <w:lang w:bidi="ar-SA"/>
        </w:rPr>
        <w:t xml:space="preserve"> </w:t>
      </w:r>
      <w:r w:rsidR="004833A0">
        <w:rPr>
          <w:lang w:bidi="ar-SA"/>
        </w:rPr>
        <w:t>m</w:t>
      </w:r>
      <w:r w:rsidR="0092310B">
        <w:rPr>
          <w:lang w:bidi="ar-SA"/>
        </w:rPr>
        <w:t>in</w:t>
      </w:r>
      <w:r w:rsidR="004833A0">
        <w:rPr>
          <w:lang w:bidi="ar-SA"/>
        </w:rPr>
        <w:t xml:space="preserve"> therefore the decreased band intensity seen in the reaction mix samples showed that protein loss was due to pancreatin activity rather than protein instability.</w:t>
      </w:r>
    </w:p>
    <w:p w14:paraId="373E3561" w14:textId="2EAF7B4B" w:rsidR="00331FBC" w:rsidRDefault="00331FBC" w:rsidP="00221257">
      <w:pPr>
        <w:pStyle w:val="Heading3"/>
      </w:pPr>
      <w:bookmarkStart w:id="160" w:name="_Acute_toxicity_studies"/>
      <w:bookmarkStart w:id="161" w:name="_Toc497988152"/>
      <w:bookmarkStart w:id="162" w:name="_Toc499025635"/>
      <w:bookmarkStart w:id="163" w:name="_Toc499210300"/>
      <w:bookmarkStart w:id="164" w:name="_Toc499893690"/>
      <w:bookmarkStart w:id="165" w:name="_Toc500321353"/>
      <w:bookmarkEnd w:id="160"/>
      <w:r>
        <w:t>Acute toxicity studies</w:t>
      </w:r>
      <w:bookmarkEnd w:id="161"/>
      <w:bookmarkEnd w:id="162"/>
      <w:bookmarkEnd w:id="163"/>
      <w:bookmarkEnd w:id="164"/>
      <w:bookmarkEnd w:id="165"/>
    </w:p>
    <w:p w14:paraId="05DF0A6D" w14:textId="1CB6D439" w:rsidR="00CB35BE" w:rsidRDefault="00CB35BE" w:rsidP="00331FBC">
      <w:r>
        <w:t>C57BL/6J mice (6/sex/group, aged 8 weeks) were administered 2000 mg/kg bw Cry14Ab1 or the equivalent volume of vehicle control</w:t>
      </w:r>
      <w:r w:rsidR="00C853F4">
        <w:t xml:space="preserve"> on day 1.</w:t>
      </w:r>
      <w:r w:rsidR="00C853F4" w:rsidRPr="00C853F4">
        <w:rPr>
          <w:rFonts w:cs="Arial"/>
          <w:color w:val="000000" w:themeColor="text1"/>
          <w:szCs w:val="22"/>
        </w:rPr>
        <w:t xml:space="preserve"> </w:t>
      </w:r>
      <w:r w:rsidR="00C853F4">
        <w:rPr>
          <w:rFonts w:cs="Arial"/>
          <w:color w:val="000000" w:themeColor="text1"/>
          <w:szCs w:val="22"/>
        </w:rPr>
        <w:t xml:space="preserve">Clinical signs were monitored daily, while body weight and food consumption were monitored weekly. At study termination, blood samples were collected for haematology and a gross post-mortem performed. Samples were then collected for histopathology. </w:t>
      </w:r>
    </w:p>
    <w:p w14:paraId="5BCA4F27" w14:textId="77777777" w:rsidR="00331FBC" w:rsidRDefault="00331FBC" w:rsidP="00331FBC"/>
    <w:p w14:paraId="7B4B7736" w14:textId="20ED25E8" w:rsidR="00331FBC" w:rsidRPr="004432D7" w:rsidRDefault="0075105B" w:rsidP="00331FBC">
      <w:r>
        <w:t xml:space="preserve">No mortalities occurred during the study and no treatment-related clinical signs were observed. </w:t>
      </w:r>
      <w:r>
        <w:rPr>
          <w:rFonts w:cs="Arial"/>
          <w:color w:val="000000" w:themeColor="text1"/>
          <w:szCs w:val="22"/>
        </w:rPr>
        <w:t>Mean weekly body weights and body weight gains in all treatment groups were similar to those of controls. Food consumption was similar in all groups.</w:t>
      </w:r>
      <w:r>
        <w:t xml:space="preserve"> No macroscopic changes were reported at necropsy therefore histopathology was not required. The data shows Cry14Ab1 at 2000 mg/kg bw did not produce signs of systemic toxicity and was well tolerated by mice.</w:t>
      </w:r>
    </w:p>
    <w:p w14:paraId="19294FFA" w14:textId="6B300BA8" w:rsidR="00331FBC" w:rsidRPr="00262CF4" w:rsidRDefault="00331FBC" w:rsidP="00221257">
      <w:pPr>
        <w:pStyle w:val="Heading3"/>
      </w:pPr>
      <w:bookmarkStart w:id="166" w:name="_Toc482255828"/>
      <w:bookmarkStart w:id="167" w:name="_Toc489531039"/>
      <w:bookmarkStart w:id="168" w:name="_Toc491439840"/>
      <w:bookmarkStart w:id="169" w:name="_Toc493515870"/>
      <w:bookmarkStart w:id="170" w:name="_Toc495489339"/>
      <w:bookmarkStart w:id="171" w:name="_Toc496169792"/>
      <w:bookmarkStart w:id="172" w:name="_Toc497988153"/>
      <w:bookmarkStart w:id="173" w:name="_Toc499025636"/>
      <w:bookmarkStart w:id="174" w:name="_Toc499210301"/>
      <w:bookmarkStart w:id="175" w:name="_Toc499893691"/>
      <w:bookmarkStart w:id="176" w:name="_Toc500321354"/>
      <w:bookmarkStart w:id="177" w:name="_Toc34824988"/>
      <w:r>
        <w:t>4.</w:t>
      </w:r>
      <w:r w:rsidR="001C748B">
        <w:t>1</w:t>
      </w:r>
      <w:r w:rsidRPr="00D53E1B">
        <w:t>.</w:t>
      </w:r>
      <w:r w:rsidR="001C748B">
        <w:t>4</w:t>
      </w:r>
      <w:r w:rsidRPr="00BF05BE">
        <w:tab/>
        <w:t>Conclusion</w:t>
      </w:r>
      <w:bookmarkEnd w:id="166"/>
      <w:bookmarkEnd w:id="167"/>
      <w:bookmarkEnd w:id="168"/>
      <w:bookmarkEnd w:id="169"/>
      <w:bookmarkEnd w:id="170"/>
      <w:bookmarkEnd w:id="171"/>
      <w:bookmarkEnd w:id="172"/>
      <w:bookmarkEnd w:id="173"/>
      <w:bookmarkEnd w:id="174"/>
      <w:bookmarkEnd w:id="175"/>
      <w:bookmarkEnd w:id="176"/>
      <w:bookmarkEnd w:id="177"/>
    </w:p>
    <w:p w14:paraId="60EDD8F3" w14:textId="06E925E5" w:rsidR="00331FBC" w:rsidRDefault="0075105B" w:rsidP="00331FBC">
      <w:r>
        <w:t xml:space="preserve">Biochemical analysis of </w:t>
      </w:r>
      <w:r w:rsidR="000C1A6F">
        <w:t xml:space="preserve">Cry14Ab1 </w:t>
      </w:r>
      <w:r>
        <w:t xml:space="preserve">expressed </w:t>
      </w:r>
      <w:r w:rsidRPr="000C1A6F">
        <w:rPr>
          <w:i/>
        </w:rPr>
        <w:t>in planta</w:t>
      </w:r>
      <w:r>
        <w:t xml:space="preserve"> showed that the protein had the expected molecular</w:t>
      </w:r>
      <w:r w:rsidR="000C1A6F">
        <w:t xml:space="preserve"> mass, peptide sequence and function. An</w:t>
      </w:r>
      <w:r w:rsidR="000D0595">
        <w:t>alysis of an</w:t>
      </w:r>
      <w:r w:rsidR="000C1A6F">
        <w:t xml:space="preserve"> equivalent Cry14Ab1 protein expressed in bacteria confirmed that the protein was heat labile and susceptible to peptic digestion</w:t>
      </w:r>
      <w:r w:rsidR="00331FBC">
        <w:t xml:space="preserve">. </w:t>
      </w:r>
      <w:r w:rsidR="000C1A6F" w:rsidRPr="000C1A6F">
        <w:rPr>
          <w:i/>
        </w:rPr>
        <w:t>In silico</w:t>
      </w:r>
      <w:r w:rsidR="000C1A6F">
        <w:t xml:space="preserve"> analyses </w:t>
      </w:r>
      <w:r w:rsidR="000D0595">
        <w:t>did not identify any significant similarity with known allergens or toxins</w:t>
      </w:r>
      <w:r w:rsidR="000C1A6F">
        <w:t>. A</w:t>
      </w:r>
      <w:r w:rsidR="000D0595">
        <w:t>n</w:t>
      </w:r>
      <w:r w:rsidR="000C1A6F">
        <w:t xml:space="preserve"> </w:t>
      </w:r>
      <w:r w:rsidR="00331FBC">
        <w:t xml:space="preserve">acute toxicity study in mice </w:t>
      </w:r>
      <w:r w:rsidR="000C1A6F">
        <w:t>demonstrated that Cry14Ab1 did not produce systemic toxicity</w:t>
      </w:r>
      <w:r w:rsidR="00331FBC">
        <w:t xml:space="preserve">. </w:t>
      </w:r>
      <w:r w:rsidR="00F82477">
        <w:t>Taken together, this indicates that Cry14Ab1 is unlikely to be toxic or allergenic to humans.</w:t>
      </w:r>
    </w:p>
    <w:p w14:paraId="56FB8CB9" w14:textId="65E84F77" w:rsidR="000C16A9" w:rsidRDefault="000C16A9" w:rsidP="008928DE">
      <w:pPr>
        <w:pStyle w:val="Heading2"/>
      </w:pPr>
      <w:bookmarkStart w:id="178" w:name="_Toc496169793"/>
      <w:bookmarkStart w:id="179" w:name="_Toc34830894"/>
      <w:r>
        <w:t>4.2</w:t>
      </w:r>
      <w:r>
        <w:tab/>
        <w:t>Description of the HPPD protein</w:t>
      </w:r>
      <w:bookmarkEnd w:id="178"/>
      <w:bookmarkEnd w:id="179"/>
    </w:p>
    <w:p w14:paraId="0B527E8F" w14:textId="44FAE02C" w:rsidR="000C16A9" w:rsidRDefault="000C16A9" w:rsidP="000C16A9">
      <w:pPr>
        <w:widowControl/>
        <w:rPr>
          <w:rFonts w:cs="Arial"/>
          <w:szCs w:val="22"/>
          <w:lang w:eastAsia="en-GB" w:bidi="ar-SA"/>
        </w:rPr>
      </w:pPr>
      <w:r>
        <w:rPr>
          <w:rFonts w:cs="Arial"/>
          <w:szCs w:val="22"/>
          <w:lang w:eastAsia="en-GB" w:bidi="ar-SA"/>
        </w:rPr>
        <w:t>HPPD</w:t>
      </w:r>
      <w:r w:rsidRPr="00A0243F">
        <w:rPr>
          <w:rFonts w:cs="Arial"/>
          <w:szCs w:val="22"/>
          <w:lang w:eastAsia="en-GB" w:bidi="ar-SA"/>
        </w:rPr>
        <w:t xml:space="preserve"> </w:t>
      </w:r>
      <w:r>
        <w:rPr>
          <w:rFonts w:cs="Arial"/>
          <w:szCs w:val="22"/>
          <w:lang w:eastAsia="en-GB" w:bidi="ar-SA"/>
        </w:rPr>
        <w:t>is a</w:t>
      </w:r>
      <w:r w:rsidRPr="00A321B1">
        <w:rPr>
          <w:rFonts w:cs="Arial"/>
          <w:szCs w:val="22"/>
          <w:lang w:eastAsia="en-GB" w:bidi="ar-SA"/>
        </w:rPr>
        <w:t xml:space="preserve"> </w:t>
      </w:r>
      <w:r>
        <w:rPr>
          <w:rFonts w:cs="Arial"/>
          <w:szCs w:val="22"/>
          <w:lang w:eastAsia="en-GB" w:bidi="ar-SA"/>
        </w:rPr>
        <w:t xml:space="preserve">ubiquitously expressed enzyme involved in the catabolism of tyrosine to homogentisate. The fate of homogentisate differs between photosynthetic and non-photosynthetic organisms (Shaner 2003; Moran 2005). In photosynthetic organisms, homogentisate is converted to plastoquinones and alpha-tocopherol (vitamin E). Plastoquinones have a few roles in plants, from acting as an electron carrier between </w:t>
      </w:r>
      <w:r>
        <w:rPr>
          <w:rFonts w:ascii="Helvetica" w:hAnsi="Helvetica" w:cs="Arial"/>
          <w:color w:val="000000"/>
          <w:lang w:val="en"/>
        </w:rPr>
        <w:t>photosystem II and the cytochrome b6f complex</w:t>
      </w:r>
      <w:r>
        <w:rPr>
          <w:rFonts w:cs="Arial"/>
          <w:szCs w:val="22"/>
          <w:lang w:eastAsia="en-GB" w:bidi="ar-SA"/>
        </w:rPr>
        <w:t xml:space="preserve">, to being a co-factor for the enzyme </w:t>
      </w:r>
      <w:r w:rsidRPr="009F140A">
        <w:rPr>
          <w:rFonts w:cs="Arial"/>
          <w:szCs w:val="22"/>
          <w:lang w:eastAsia="en-GB" w:bidi="ar-SA"/>
        </w:rPr>
        <w:t>phytoene desaturase</w:t>
      </w:r>
      <w:r>
        <w:rPr>
          <w:rFonts w:cs="Arial"/>
          <w:szCs w:val="22"/>
          <w:lang w:eastAsia="en-GB" w:bidi="ar-SA"/>
        </w:rPr>
        <w:t>, involved in carotenoid formation. In animals, homogentisate is converted to fumarate and acetoacetate, which can be directed into the citric acid cycle for cellular energy generation.</w:t>
      </w:r>
    </w:p>
    <w:p w14:paraId="76CDF642" w14:textId="77777777" w:rsidR="000C16A9" w:rsidRDefault="000C16A9" w:rsidP="000C16A9">
      <w:pPr>
        <w:widowControl/>
        <w:rPr>
          <w:rFonts w:cs="Arial"/>
          <w:szCs w:val="22"/>
          <w:lang w:eastAsia="en-GB" w:bidi="ar-SA"/>
        </w:rPr>
      </w:pPr>
    </w:p>
    <w:p w14:paraId="566D38A9" w14:textId="742FBD27" w:rsidR="000C16A9" w:rsidRDefault="000C16A9" w:rsidP="000C16A9">
      <w:pPr>
        <w:widowControl/>
        <w:rPr>
          <w:rFonts w:cs="Arial"/>
          <w:szCs w:val="22"/>
          <w:lang w:eastAsia="en-GB" w:bidi="ar-SA"/>
        </w:rPr>
      </w:pPr>
      <w:r>
        <w:rPr>
          <w:rFonts w:cs="Arial"/>
          <w:szCs w:val="22"/>
          <w:lang w:eastAsia="en-GB" w:bidi="ar-SA"/>
        </w:rPr>
        <w:t>Isoxaflutole is an inhibitor of HPPD resulting in a decrease in plastoquinones (Pallett et al</w:t>
      </w:r>
      <w:r w:rsidR="00482D46">
        <w:rPr>
          <w:rFonts w:cs="Arial"/>
          <w:szCs w:val="22"/>
          <w:lang w:eastAsia="en-GB" w:bidi="ar-SA"/>
        </w:rPr>
        <w:t>.</w:t>
      </w:r>
      <w:r>
        <w:rPr>
          <w:rFonts w:cs="Arial"/>
          <w:szCs w:val="22"/>
          <w:lang w:eastAsia="en-GB" w:bidi="ar-SA"/>
        </w:rPr>
        <w:t xml:space="preserve"> 1998; </w:t>
      </w:r>
      <w:r w:rsidR="003410CF">
        <w:rPr>
          <w:rFonts w:cs="Arial"/>
          <w:szCs w:val="22"/>
          <w:lang w:eastAsia="en-GB" w:bidi="ar-SA"/>
        </w:rPr>
        <w:t xml:space="preserve">2001; </w:t>
      </w:r>
      <w:r>
        <w:rPr>
          <w:rFonts w:cs="Arial"/>
          <w:szCs w:val="22"/>
          <w:lang w:eastAsia="en-GB" w:bidi="ar-SA"/>
        </w:rPr>
        <w:t xml:space="preserve">Little and Pallett, 2003). </w:t>
      </w:r>
      <w:r w:rsidR="00226243">
        <w:rPr>
          <w:rFonts w:cs="Arial"/>
          <w:szCs w:val="22"/>
          <w:lang w:eastAsia="en-GB" w:bidi="ar-SA"/>
        </w:rPr>
        <w:t>D</w:t>
      </w:r>
      <w:r>
        <w:rPr>
          <w:rFonts w:cs="Arial"/>
          <w:szCs w:val="22"/>
          <w:lang w:eastAsia="en-GB" w:bidi="ar-SA"/>
        </w:rPr>
        <w:t>e</w:t>
      </w:r>
      <w:r w:rsidR="00226243">
        <w:rPr>
          <w:rFonts w:cs="Arial"/>
          <w:szCs w:val="22"/>
          <w:lang w:eastAsia="en-GB" w:bidi="ar-SA"/>
        </w:rPr>
        <w:t>creas</w:t>
      </w:r>
      <w:r>
        <w:rPr>
          <w:rFonts w:cs="Arial"/>
          <w:szCs w:val="22"/>
          <w:lang w:eastAsia="en-GB" w:bidi="ar-SA"/>
        </w:rPr>
        <w:t>ing plastiquinone levels</w:t>
      </w:r>
      <w:r w:rsidR="00226243">
        <w:rPr>
          <w:rFonts w:cs="Arial"/>
          <w:szCs w:val="22"/>
          <w:lang w:eastAsia="en-GB" w:bidi="ar-SA"/>
        </w:rPr>
        <w:t xml:space="preserve"> </w:t>
      </w:r>
      <w:r>
        <w:rPr>
          <w:rFonts w:cs="Arial"/>
          <w:szCs w:val="22"/>
          <w:lang w:eastAsia="en-GB" w:bidi="ar-SA"/>
        </w:rPr>
        <w:t>direct</w:t>
      </w:r>
      <w:r w:rsidR="00226243">
        <w:rPr>
          <w:rFonts w:cs="Arial"/>
          <w:szCs w:val="22"/>
          <w:lang w:eastAsia="en-GB" w:bidi="ar-SA"/>
        </w:rPr>
        <w:t>ly</w:t>
      </w:r>
      <w:r>
        <w:rPr>
          <w:rFonts w:cs="Arial"/>
          <w:szCs w:val="22"/>
          <w:lang w:eastAsia="en-GB" w:bidi="ar-SA"/>
        </w:rPr>
        <w:t xml:space="preserve"> impact</w:t>
      </w:r>
      <w:r w:rsidR="00226243">
        <w:rPr>
          <w:rFonts w:cs="Arial"/>
          <w:szCs w:val="22"/>
          <w:lang w:eastAsia="en-GB" w:bidi="ar-SA"/>
        </w:rPr>
        <w:t>s</w:t>
      </w:r>
      <w:r>
        <w:rPr>
          <w:rFonts w:cs="Arial"/>
          <w:szCs w:val="22"/>
          <w:lang w:eastAsia="en-GB" w:bidi="ar-SA"/>
        </w:rPr>
        <w:t xml:space="preserve"> photosynthesis and </w:t>
      </w:r>
      <w:r w:rsidRPr="009F140A">
        <w:rPr>
          <w:rFonts w:cs="Arial"/>
          <w:szCs w:val="22"/>
          <w:lang w:eastAsia="en-GB" w:bidi="ar-SA"/>
        </w:rPr>
        <w:t>phytoene desaturase</w:t>
      </w:r>
      <w:r w:rsidR="00226243">
        <w:rPr>
          <w:rFonts w:cs="Arial"/>
          <w:szCs w:val="22"/>
          <w:lang w:eastAsia="en-GB" w:bidi="ar-SA"/>
        </w:rPr>
        <w:t xml:space="preserve"> activity, limiting</w:t>
      </w:r>
      <w:r>
        <w:rPr>
          <w:rFonts w:cs="Arial"/>
          <w:szCs w:val="22"/>
          <w:lang w:eastAsia="en-GB" w:bidi="ar-SA"/>
        </w:rPr>
        <w:t xml:space="preserve"> formation of carotenoids, reducing their photo-protective effect on chlorophylls (Anderson and Robertson, 196</w:t>
      </w:r>
      <w:r w:rsidR="00254BE2">
        <w:rPr>
          <w:rFonts w:cs="Arial"/>
          <w:szCs w:val="22"/>
          <w:lang w:eastAsia="en-GB" w:bidi="ar-SA"/>
        </w:rPr>
        <w:t>0</w:t>
      </w:r>
      <w:r>
        <w:rPr>
          <w:rFonts w:cs="Arial"/>
          <w:szCs w:val="22"/>
          <w:lang w:eastAsia="en-GB" w:bidi="ar-SA"/>
        </w:rPr>
        <w:t>; Mayfield et al</w:t>
      </w:r>
      <w:r w:rsidR="00482D46">
        <w:rPr>
          <w:rFonts w:cs="Arial"/>
          <w:szCs w:val="22"/>
          <w:lang w:eastAsia="en-GB" w:bidi="ar-SA"/>
        </w:rPr>
        <w:t>.</w:t>
      </w:r>
      <w:r>
        <w:rPr>
          <w:rFonts w:cs="Arial"/>
          <w:szCs w:val="22"/>
          <w:lang w:eastAsia="en-GB" w:bidi="ar-SA"/>
        </w:rPr>
        <w:t xml:space="preserve"> 1986). This in turn leads to photo-bleaching of the foliage and a reduction in the plants</w:t>
      </w:r>
      <w:r w:rsidR="001B6081">
        <w:rPr>
          <w:rFonts w:cs="Arial"/>
          <w:szCs w:val="22"/>
          <w:lang w:eastAsia="en-GB" w:bidi="ar-SA"/>
        </w:rPr>
        <w:t>’</w:t>
      </w:r>
      <w:r>
        <w:rPr>
          <w:rFonts w:cs="Arial"/>
          <w:szCs w:val="22"/>
          <w:lang w:eastAsia="en-GB" w:bidi="ar-SA"/>
        </w:rPr>
        <w:t xml:space="preserve"> ability to undergo further photosynthesis, resulting in plant death. </w:t>
      </w:r>
    </w:p>
    <w:p w14:paraId="3723A0CF" w14:textId="77777777" w:rsidR="000C16A9" w:rsidRDefault="000C16A9" w:rsidP="000C16A9">
      <w:pPr>
        <w:widowControl/>
        <w:rPr>
          <w:rFonts w:cs="Arial"/>
          <w:szCs w:val="22"/>
          <w:lang w:eastAsia="en-GB" w:bidi="ar-SA"/>
        </w:rPr>
      </w:pPr>
    </w:p>
    <w:p w14:paraId="6CDCF0E0" w14:textId="710DF9D9" w:rsidR="000C16A9" w:rsidRDefault="000C16A9" w:rsidP="000C16A9">
      <w:pPr>
        <w:rPr>
          <w:rFonts w:cs="Arial"/>
          <w:szCs w:val="22"/>
          <w:lang w:eastAsia="en-GB" w:bidi="ar-SA"/>
        </w:rPr>
      </w:pPr>
      <w:r>
        <w:rPr>
          <w:rFonts w:cs="Arial"/>
          <w:szCs w:val="22"/>
          <w:lang w:eastAsia="en-GB" w:bidi="ar-SA"/>
        </w:rPr>
        <w:t xml:space="preserve">The HPPD protein </w:t>
      </w:r>
      <w:r w:rsidR="006F3EF5">
        <w:rPr>
          <w:rFonts w:cs="Arial"/>
          <w:szCs w:val="22"/>
          <w:lang w:eastAsia="en-GB" w:bidi="ar-SA"/>
        </w:rPr>
        <w:t xml:space="preserve">expressed in GMB151 contains four amino acid changes compared to the source protein from </w:t>
      </w:r>
      <w:r w:rsidR="006F3EF5" w:rsidRPr="006F3EF5">
        <w:rPr>
          <w:rFonts w:cs="Arial"/>
          <w:i/>
          <w:szCs w:val="22"/>
          <w:lang w:eastAsia="en-GB" w:bidi="ar-SA"/>
        </w:rPr>
        <w:t>P. fluorescens</w:t>
      </w:r>
      <w:r w:rsidR="00DF5D1D" w:rsidRPr="00DF5D1D">
        <w:rPr>
          <w:color w:val="000000" w:themeColor="text1"/>
        </w:rPr>
        <w:t xml:space="preserve"> </w:t>
      </w:r>
      <w:r w:rsidR="00DF5D1D">
        <w:rPr>
          <w:color w:val="000000" w:themeColor="text1"/>
        </w:rPr>
        <w:t>(Sailland et al</w:t>
      </w:r>
      <w:r w:rsidR="00482D46">
        <w:rPr>
          <w:color w:val="000000" w:themeColor="text1"/>
        </w:rPr>
        <w:t>.</w:t>
      </w:r>
      <w:r w:rsidR="00DF5D1D">
        <w:rPr>
          <w:color w:val="000000" w:themeColor="text1"/>
        </w:rPr>
        <w:t xml:space="preserve"> 2001</w:t>
      </w:r>
      <w:r w:rsidR="00DF5D1D" w:rsidRPr="00C4652E">
        <w:rPr>
          <w:color w:val="000000" w:themeColor="text1"/>
        </w:rPr>
        <w:t>)</w:t>
      </w:r>
      <w:r w:rsidR="00DF5D1D">
        <w:rPr>
          <w:color w:val="000000" w:themeColor="text1"/>
        </w:rPr>
        <w:t>.</w:t>
      </w:r>
      <w:r w:rsidRPr="006F3EF5">
        <w:rPr>
          <w:rFonts w:cs="Arial"/>
          <w:szCs w:val="22"/>
          <w:lang w:eastAsia="en-GB" w:bidi="ar-SA"/>
        </w:rPr>
        <w:t xml:space="preserve"> </w:t>
      </w:r>
      <w:r w:rsidR="006F3EF5" w:rsidRPr="006F3EF5">
        <w:rPr>
          <w:rFonts w:cs="Arial"/>
          <w:szCs w:val="22"/>
          <w:lang w:eastAsia="en-GB" w:bidi="ar-SA"/>
        </w:rPr>
        <w:t>This mutant form</w:t>
      </w:r>
      <w:r w:rsidRPr="006F3EF5">
        <w:rPr>
          <w:rFonts w:cs="Arial"/>
          <w:szCs w:val="22"/>
          <w:lang w:eastAsia="en-GB" w:bidi="ar-SA"/>
        </w:rPr>
        <w:t xml:space="preserve"> </w:t>
      </w:r>
      <w:r w:rsidR="006F3EF5" w:rsidRPr="006F3EF5">
        <w:rPr>
          <w:rFonts w:cs="Arial"/>
          <w:szCs w:val="22"/>
          <w:lang w:eastAsia="en-GB" w:bidi="ar-SA"/>
        </w:rPr>
        <w:t>of the</w:t>
      </w:r>
      <w:r w:rsidRPr="006F3EF5">
        <w:rPr>
          <w:rFonts w:cs="Arial"/>
          <w:szCs w:val="22"/>
          <w:lang w:eastAsia="en-GB" w:bidi="ar-SA"/>
        </w:rPr>
        <w:t xml:space="preserve"> enzyme </w:t>
      </w:r>
      <w:r w:rsidR="006F3EF5" w:rsidRPr="006F3EF5">
        <w:rPr>
          <w:rFonts w:cs="Arial"/>
          <w:szCs w:val="22"/>
          <w:lang w:eastAsia="en-GB" w:bidi="ar-SA"/>
        </w:rPr>
        <w:t>shows reduced binding to HPPD-inhibitor herbicides</w:t>
      </w:r>
      <w:r w:rsidR="00052F29">
        <w:rPr>
          <w:rFonts w:cs="Arial"/>
          <w:szCs w:val="22"/>
          <w:lang w:eastAsia="en-GB" w:bidi="ar-SA"/>
        </w:rPr>
        <w:t>,</w:t>
      </w:r>
      <w:r w:rsidR="006F3EF5" w:rsidRPr="006F3EF5">
        <w:rPr>
          <w:rFonts w:cs="Arial"/>
          <w:szCs w:val="22"/>
          <w:lang w:eastAsia="en-GB" w:bidi="ar-SA"/>
        </w:rPr>
        <w:t xml:space="preserve"> thus allow</w:t>
      </w:r>
      <w:r w:rsidR="00052F29">
        <w:rPr>
          <w:rFonts w:cs="Arial"/>
          <w:szCs w:val="22"/>
          <w:lang w:eastAsia="en-GB" w:bidi="ar-SA"/>
        </w:rPr>
        <w:t>ing</w:t>
      </w:r>
      <w:r w:rsidR="006F3EF5" w:rsidRPr="006F3EF5">
        <w:rPr>
          <w:rFonts w:cs="Arial"/>
          <w:szCs w:val="22"/>
          <w:lang w:eastAsia="en-GB" w:bidi="ar-SA"/>
        </w:rPr>
        <w:t xml:space="preserve"> the plant to survive</w:t>
      </w:r>
      <w:r w:rsidR="00DF5D1D">
        <w:rPr>
          <w:rFonts w:cs="Arial"/>
          <w:szCs w:val="22"/>
          <w:lang w:eastAsia="en-GB" w:bidi="ar-SA"/>
        </w:rPr>
        <w:t xml:space="preserve"> when exposed to these herbicides</w:t>
      </w:r>
      <w:r w:rsidRPr="006F3EF5">
        <w:rPr>
          <w:rFonts w:cs="Arial"/>
          <w:szCs w:val="22"/>
          <w:lang w:eastAsia="en-GB" w:bidi="ar-SA"/>
        </w:rPr>
        <w:t>.</w:t>
      </w:r>
    </w:p>
    <w:p w14:paraId="081D0078" w14:textId="14FD648E" w:rsidR="000C16A9" w:rsidRDefault="000C16A9" w:rsidP="00D36458">
      <w:pPr>
        <w:widowControl/>
        <w:rPr>
          <w:rFonts w:cs="Arial"/>
          <w:szCs w:val="22"/>
          <w:lang w:eastAsia="en-GB" w:bidi="ar-SA"/>
        </w:rPr>
      </w:pPr>
    </w:p>
    <w:p w14:paraId="5BA7B06B" w14:textId="15E7A043" w:rsidR="000C16A9" w:rsidRDefault="000C16A9" w:rsidP="000C16A9">
      <w:pPr>
        <w:rPr>
          <w:rFonts w:cs="Arial"/>
          <w:szCs w:val="22"/>
          <w:lang w:eastAsia="en-GB" w:bidi="ar-SA"/>
        </w:rPr>
      </w:pPr>
      <w:r>
        <w:rPr>
          <w:rFonts w:cs="Arial"/>
          <w:szCs w:val="22"/>
          <w:lang w:eastAsia="en-GB" w:bidi="ar-SA"/>
        </w:rPr>
        <w:t xml:space="preserve">Analysis performed by FSANZ revealed that the HPPD protein from </w:t>
      </w:r>
      <w:r>
        <w:rPr>
          <w:rFonts w:cs="Arial"/>
          <w:i/>
          <w:szCs w:val="22"/>
          <w:lang w:eastAsia="en-GB" w:bidi="ar-SA"/>
        </w:rPr>
        <w:t>P</w:t>
      </w:r>
      <w:r w:rsidRPr="00480F16">
        <w:rPr>
          <w:rFonts w:cs="Arial"/>
          <w:i/>
          <w:szCs w:val="22"/>
          <w:lang w:eastAsia="en-GB" w:bidi="ar-SA"/>
        </w:rPr>
        <w:t>. fluorescens</w:t>
      </w:r>
      <w:r>
        <w:rPr>
          <w:rFonts w:cs="Arial"/>
          <w:szCs w:val="22"/>
          <w:lang w:eastAsia="en-GB" w:bidi="ar-SA"/>
        </w:rPr>
        <w:t xml:space="preserve"> has low sequence homology to plant-derived forms</w:t>
      </w:r>
      <w:r w:rsidR="00446AFC">
        <w:rPr>
          <w:rFonts w:cs="Arial"/>
          <w:szCs w:val="22"/>
          <w:lang w:eastAsia="en-GB" w:bidi="ar-SA"/>
        </w:rPr>
        <w:t>.</w:t>
      </w:r>
      <w:r>
        <w:rPr>
          <w:rFonts w:cs="Arial"/>
          <w:szCs w:val="22"/>
          <w:lang w:eastAsia="en-GB" w:bidi="ar-SA"/>
        </w:rPr>
        <w:t xml:space="preserve"> </w:t>
      </w:r>
      <w:r w:rsidR="00446AFC">
        <w:rPr>
          <w:rFonts w:cs="Arial"/>
          <w:szCs w:val="22"/>
          <w:lang w:eastAsia="en-GB" w:bidi="ar-SA"/>
        </w:rPr>
        <w:t>H</w:t>
      </w:r>
      <w:r>
        <w:rPr>
          <w:rFonts w:cs="Arial"/>
          <w:szCs w:val="22"/>
          <w:lang w:eastAsia="en-GB" w:bidi="ar-SA"/>
        </w:rPr>
        <w:t>owever</w:t>
      </w:r>
      <w:r w:rsidR="00446AFC">
        <w:rPr>
          <w:rFonts w:cs="Arial"/>
          <w:szCs w:val="22"/>
          <w:lang w:eastAsia="en-GB" w:bidi="ar-SA"/>
        </w:rPr>
        <w:t>,</w:t>
      </w:r>
      <w:r>
        <w:rPr>
          <w:rFonts w:cs="Arial"/>
          <w:szCs w:val="22"/>
          <w:lang w:eastAsia="en-GB" w:bidi="ar-SA"/>
        </w:rPr>
        <w:t xml:space="preserve"> the similarity in sequence between common food crops is also highly variable. Related plants share high homology, </w:t>
      </w:r>
      <w:r w:rsidR="00446AFC">
        <w:rPr>
          <w:rFonts w:cs="Arial"/>
          <w:szCs w:val="22"/>
          <w:lang w:eastAsia="en-GB" w:bidi="ar-SA"/>
        </w:rPr>
        <w:t xml:space="preserve">illustrated by </w:t>
      </w:r>
      <w:r>
        <w:rPr>
          <w:rFonts w:cs="Arial"/>
          <w:szCs w:val="22"/>
          <w:lang w:eastAsia="en-GB" w:bidi="ar-SA"/>
        </w:rPr>
        <w:t>a comparison of the predicted potato and tomato HPPD proteins that show &gt; 95% homology. Comparison of the HPPD sequence from potato with cotton, soybean and corn showed sequence variation from 55-75%. Humans have therefore been exposed to many different forms of the HPPD protein via the food supply. FSANZ has also previously assessed the HPPD</w:t>
      </w:r>
      <w:r w:rsidRPr="00F27D4A">
        <w:rPr>
          <w:rFonts w:cs="Arial"/>
          <w:i/>
          <w:szCs w:val="22"/>
          <w:lang w:eastAsia="en-GB" w:bidi="ar-SA"/>
        </w:rPr>
        <w:t>Pf</w:t>
      </w:r>
      <w:r>
        <w:rPr>
          <w:rFonts w:cs="Arial"/>
          <w:szCs w:val="22"/>
          <w:lang w:eastAsia="en-GB" w:bidi="ar-SA"/>
        </w:rPr>
        <w:t xml:space="preserve"> W336 protein in soybean line FG72 </w:t>
      </w:r>
      <w:r w:rsidR="00AC2344">
        <w:rPr>
          <w:rFonts w:cs="Arial"/>
          <w:szCs w:val="22"/>
          <w:lang w:eastAsia="en-GB" w:bidi="ar-SA"/>
        </w:rPr>
        <w:t xml:space="preserve">and cotton line </w:t>
      </w:r>
      <w:r w:rsidR="007F5832">
        <w:rPr>
          <w:rFonts w:cs="Arial"/>
          <w:szCs w:val="22"/>
          <w:lang w:eastAsia="en-GB" w:bidi="ar-SA"/>
        </w:rPr>
        <w:t>GHB811</w:t>
      </w:r>
      <w:r w:rsidR="00AC2344">
        <w:rPr>
          <w:rFonts w:cs="Arial"/>
          <w:szCs w:val="22"/>
          <w:lang w:eastAsia="en-GB" w:bidi="ar-SA"/>
        </w:rPr>
        <w:t xml:space="preserve"> </w:t>
      </w:r>
      <w:r>
        <w:rPr>
          <w:rFonts w:cs="Arial"/>
          <w:szCs w:val="22"/>
          <w:lang w:eastAsia="en-GB" w:bidi="ar-SA"/>
        </w:rPr>
        <w:t>(FSANZ 2011</w:t>
      </w:r>
      <w:r w:rsidR="00AC2344">
        <w:rPr>
          <w:rFonts w:cs="Arial"/>
          <w:szCs w:val="22"/>
          <w:lang w:eastAsia="en-GB" w:bidi="ar-SA"/>
        </w:rPr>
        <w:t>; 2018</w:t>
      </w:r>
      <w:r>
        <w:rPr>
          <w:rFonts w:cs="Arial"/>
          <w:szCs w:val="22"/>
          <w:lang w:eastAsia="en-GB" w:bidi="ar-SA"/>
        </w:rPr>
        <w:t>).</w:t>
      </w:r>
    </w:p>
    <w:p w14:paraId="4B27D4E2" w14:textId="77777777" w:rsidR="000C16A9" w:rsidRDefault="000C16A9" w:rsidP="000C16A9">
      <w:pPr>
        <w:rPr>
          <w:rFonts w:cs="Arial"/>
          <w:szCs w:val="22"/>
          <w:lang w:eastAsia="en-GB" w:bidi="ar-SA"/>
        </w:rPr>
      </w:pPr>
    </w:p>
    <w:p w14:paraId="58CA3129" w14:textId="3F14064C" w:rsidR="004B4D1E" w:rsidRDefault="000C16A9" w:rsidP="000C16A9">
      <w:pPr>
        <w:rPr>
          <w:rFonts w:cs="Arial"/>
          <w:szCs w:val="22"/>
          <w:lang w:eastAsia="en-GB" w:bidi="ar-SA"/>
        </w:rPr>
      </w:pPr>
      <w:r>
        <w:rPr>
          <w:rFonts w:cs="Arial"/>
          <w:szCs w:val="22"/>
          <w:lang w:eastAsia="en-GB" w:bidi="ar-SA"/>
        </w:rPr>
        <w:t xml:space="preserve">The </w:t>
      </w:r>
      <w:r w:rsidR="00AC2344">
        <w:rPr>
          <w:rFonts w:cs="Arial"/>
          <w:i/>
          <w:szCs w:val="22"/>
          <w:lang w:eastAsia="en-GB" w:bidi="ar-SA"/>
        </w:rPr>
        <w:t>hppdPf-4Pa</w:t>
      </w:r>
      <w:r>
        <w:rPr>
          <w:rFonts w:cs="Arial"/>
          <w:szCs w:val="22"/>
          <w:lang w:eastAsia="en-GB" w:bidi="ar-SA"/>
        </w:rPr>
        <w:t xml:space="preserve"> gene prepared by the </w:t>
      </w:r>
      <w:r w:rsidR="005934BB">
        <w:rPr>
          <w:rFonts w:cs="Arial"/>
          <w:szCs w:val="22"/>
          <w:lang w:eastAsia="en-GB" w:bidi="ar-SA"/>
        </w:rPr>
        <w:t>applicant</w:t>
      </w:r>
      <w:r>
        <w:rPr>
          <w:rFonts w:cs="Arial"/>
          <w:szCs w:val="22"/>
          <w:lang w:eastAsia="en-GB" w:bidi="ar-SA"/>
        </w:rPr>
        <w:t xml:space="preserve"> encodes a protein of </w:t>
      </w:r>
      <w:r w:rsidR="00A6298E">
        <w:rPr>
          <w:rFonts w:cs="Arial"/>
          <w:szCs w:val="22"/>
          <w:lang w:eastAsia="en-GB" w:bidi="ar-SA"/>
        </w:rPr>
        <w:t>482</w:t>
      </w:r>
      <w:r>
        <w:rPr>
          <w:rFonts w:cs="Arial"/>
          <w:szCs w:val="22"/>
          <w:lang w:eastAsia="en-GB" w:bidi="ar-SA"/>
        </w:rPr>
        <w:t xml:space="preserve"> amino acids, consisting of a 124 amino acid transit peptide and a mature protein of 358 amino acids. After cleavage of the plastid transit peptide, the final mature protein will have an expected molecular mass of 40.4 kDa.</w:t>
      </w:r>
    </w:p>
    <w:p w14:paraId="08143BAF" w14:textId="05E48265" w:rsidR="004B4D1E" w:rsidRDefault="004B4D1E" w:rsidP="00221257">
      <w:pPr>
        <w:pStyle w:val="Heading3"/>
      </w:pPr>
      <w:bookmarkStart w:id="180" w:name="_4.2.1_Characterisation_of"/>
      <w:bookmarkStart w:id="181" w:name="_Toc34824990"/>
      <w:bookmarkEnd w:id="180"/>
      <w:r w:rsidRPr="00262CF4">
        <w:t>4.</w:t>
      </w:r>
      <w:r>
        <w:t>2.1</w:t>
      </w:r>
      <w:r w:rsidRPr="00262CF4">
        <w:tab/>
        <w:t xml:space="preserve">Characterisation of </w:t>
      </w:r>
      <w:r>
        <w:t>HPPD-4 expressed</w:t>
      </w:r>
      <w:r w:rsidRPr="00262CF4">
        <w:t xml:space="preserve"> in </w:t>
      </w:r>
      <w:r>
        <w:t>GMB151</w:t>
      </w:r>
      <w:r w:rsidRPr="00262CF4">
        <w:t xml:space="preserve"> </w:t>
      </w:r>
      <w:r>
        <w:t>and</w:t>
      </w:r>
      <w:r w:rsidRPr="00262CF4">
        <w:t xml:space="preserve"> equivalence </w:t>
      </w:r>
      <w:r>
        <w:t>to</w:t>
      </w:r>
      <w:r w:rsidRPr="00262CF4">
        <w:t xml:space="preserve"> bacterially-produced forms</w:t>
      </w:r>
      <w:bookmarkEnd w:id="181"/>
    </w:p>
    <w:p w14:paraId="0B424DAB" w14:textId="7568A4E7" w:rsidR="004B4D1E" w:rsidRDefault="004B4D1E" w:rsidP="004B4D1E">
      <w:pPr>
        <w:rPr>
          <w:lang w:eastAsia="en-AU" w:bidi="ar-SA"/>
        </w:rPr>
      </w:pPr>
      <w:r>
        <w:rPr>
          <w:lang w:eastAsia="en-AU" w:bidi="ar-SA"/>
        </w:rPr>
        <w:t xml:space="preserve">Protein was extracted from ground leaf material from both GMB151 </w:t>
      </w:r>
      <w:r w:rsidR="007A7554">
        <w:rPr>
          <w:lang w:eastAsia="en-AU" w:bidi="ar-SA"/>
        </w:rPr>
        <w:t>(T</w:t>
      </w:r>
      <w:r w:rsidR="007A7554" w:rsidRPr="00DC12DE">
        <w:rPr>
          <w:vertAlign w:val="subscript"/>
          <w:lang w:eastAsia="en-AU" w:bidi="ar-SA"/>
        </w:rPr>
        <w:t>7</w:t>
      </w:r>
      <w:r w:rsidR="007A7554">
        <w:rPr>
          <w:lang w:eastAsia="en-AU" w:bidi="ar-SA"/>
        </w:rPr>
        <w:t xml:space="preserve">) </w:t>
      </w:r>
      <w:r>
        <w:rPr>
          <w:lang w:eastAsia="en-AU" w:bidi="ar-SA"/>
        </w:rPr>
        <w:t xml:space="preserve">and the Thorne parental control. Affinity chromatography was performed to isolate any fraction that bound to </w:t>
      </w:r>
      <w:r w:rsidR="00BD5C82">
        <w:rPr>
          <w:lang w:eastAsia="en-AU" w:bidi="ar-SA"/>
        </w:rPr>
        <w:t xml:space="preserve">an </w:t>
      </w:r>
      <w:r w:rsidR="007A7554">
        <w:rPr>
          <w:lang w:eastAsia="en-AU" w:bidi="ar-SA"/>
        </w:rPr>
        <w:t>HPPD-4</w:t>
      </w:r>
      <w:r>
        <w:rPr>
          <w:lang w:eastAsia="en-AU" w:bidi="ar-SA"/>
        </w:rPr>
        <w:t xml:space="preserve"> antibody. Aliquots of purified protein were run on SDS-PAGE and visualised with Coomassie</w:t>
      </w:r>
      <w:r w:rsidRPr="005A44D2">
        <w:rPr>
          <w:lang w:eastAsia="en-AU" w:bidi="ar-SA"/>
        </w:rPr>
        <w:t xml:space="preserve"> stain</w:t>
      </w:r>
      <w:r>
        <w:rPr>
          <w:lang w:eastAsia="en-AU" w:bidi="ar-SA"/>
        </w:rPr>
        <w:t xml:space="preserve">. A sample gel was presented and the results showed a clear band in the GMB151 lane with a molecular mass </w:t>
      </w:r>
      <w:r w:rsidR="0067362C">
        <w:rPr>
          <w:lang w:eastAsia="en-AU" w:bidi="ar-SA"/>
        </w:rPr>
        <w:t>around 37</w:t>
      </w:r>
      <w:r>
        <w:rPr>
          <w:lang w:eastAsia="en-AU" w:bidi="ar-SA"/>
        </w:rPr>
        <w:t xml:space="preserve"> kDa. There was no equivalent band in the parental control lane. Western blot analysis confirmed that the protein in GMB151 was immunoreactive to a </w:t>
      </w:r>
      <w:r w:rsidR="0067362C">
        <w:rPr>
          <w:lang w:eastAsia="en-AU" w:bidi="ar-SA"/>
        </w:rPr>
        <w:t>HPPD-4</w:t>
      </w:r>
      <w:r>
        <w:rPr>
          <w:lang w:eastAsia="en-AU" w:bidi="ar-SA"/>
        </w:rPr>
        <w:t xml:space="preserve">-specific antibody, with a size </w:t>
      </w:r>
      <w:r w:rsidR="00F814A4">
        <w:rPr>
          <w:lang w:eastAsia="en-AU" w:bidi="ar-SA"/>
        </w:rPr>
        <w:t>just above</w:t>
      </w:r>
      <w:r>
        <w:rPr>
          <w:lang w:eastAsia="en-AU" w:bidi="ar-SA"/>
        </w:rPr>
        <w:t xml:space="preserve"> </w:t>
      </w:r>
      <w:r w:rsidR="0067362C">
        <w:rPr>
          <w:lang w:eastAsia="en-AU" w:bidi="ar-SA"/>
        </w:rPr>
        <w:t>37</w:t>
      </w:r>
      <w:r>
        <w:rPr>
          <w:lang w:eastAsia="en-AU" w:bidi="ar-SA"/>
        </w:rPr>
        <w:t xml:space="preserve"> kDa. The data from the gel analyses places the mass of the protein </w:t>
      </w:r>
      <w:r w:rsidR="0067362C">
        <w:rPr>
          <w:lang w:eastAsia="en-AU" w:bidi="ar-SA"/>
        </w:rPr>
        <w:t xml:space="preserve">around 37 </w:t>
      </w:r>
      <w:r>
        <w:rPr>
          <w:lang w:eastAsia="en-AU" w:bidi="ar-SA"/>
        </w:rPr>
        <w:t>kDa.</w:t>
      </w:r>
    </w:p>
    <w:p w14:paraId="09AA493B" w14:textId="77777777" w:rsidR="004B4D1E" w:rsidRDefault="004B4D1E" w:rsidP="004B4D1E">
      <w:pPr>
        <w:rPr>
          <w:lang w:eastAsia="en-AU" w:bidi="ar-SA"/>
        </w:rPr>
      </w:pPr>
    </w:p>
    <w:p w14:paraId="1877184A" w14:textId="31D7A373" w:rsidR="0067362C" w:rsidRDefault="00F814A4" w:rsidP="004B4D1E">
      <w:pPr>
        <w:rPr>
          <w:lang w:eastAsia="en-AU" w:bidi="ar-SA"/>
        </w:rPr>
      </w:pPr>
      <w:r>
        <w:rPr>
          <w:lang w:eastAsia="en-AU" w:bidi="ar-SA"/>
        </w:rPr>
        <w:t xml:space="preserve">Mass spectrometry identified three polypeptides </w:t>
      </w:r>
      <w:r w:rsidR="005144BD">
        <w:rPr>
          <w:lang w:eastAsia="en-AU" w:bidi="ar-SA"/>
        </w:rPr>
        <w:t>in the extract from GMB151,</w:t>
      </w:r>
      <w:r w:rsidR="00DB173E">
        <w:rPr>
          <w:lang w:eastAsia="en-AU" w:bidi="ar-SA"/>
        </w:rPr>
        <w:t xml:space="preserve"> </w:t>
      </w:r>
      <w:r>
        <w:rPr>
          <w:lang w:eastAsia="en-AU" w:bidi="ar-SA"/>
        </w:rPr>
        <w:t>with unique molecular masses</w:t>
      </w:r>
      <w:r w:rsidR="00BD5C82">
        <w:rPr>
          <w:lang w:eastAsia="en-AU" w:bidi="ar-SA"/>
        </w:rPr>
        <w:t xml:space="preserve"> (</w:t>
      </w:r>
      <w:hyperlink w:anchor="Table7" w:history="1">
        <w:r w:rsidR="00BD5C82" w:rsidRPr="00DC12DE">
          <w:rPr>
            <w:rStyle w:val="Hyperlink"/>
            <w:lang w:eastAsia="en-AU" w:bidi="ar-SA"/>
          </w:rPr>
          <w:t xml:space="preserve">Table </w:t>
        </w:r>
        <w:r w:rsidR="00DC12DE" w:rsidRPr="00DC12DE">
          <w:rPr>
            <w:rStyle w:val="Hyperlink"/>
            <w:lang w:eastAsia="en-AU" w:bidi="ar-SA"/>
          </w:rPr>
          <w:t>7</w:t>
        </w:r>
      </w:hyperlink>
      <w:r w:rsidR="00BD5C82">
        <w:rPr>
          <w:lang w:eastAsia="en-AU" w:bidi="ar-SA"/>
        </w:rPr>
        <w:t xml:space="preserve">). </w:t>
      </w:r>
      <w:r w:rsidR="0029227C">
        <w:rPr>
          <w:lang w:eastAsia="en-AU" w:bidi="ar-SA"/>
        </w:rPr>
        <w:t>N-terminal sequencing showed the presence of two a</w:t>
      </w:r>
      <w:r w:rsidR="005144BD">
        <w:rPr>
          <w:lang w:eastAsia="en-AU" w:bidi="ar-SA"/>
        </w:rPr>
        <w:t>mino-termini</w:t>
      </w:r>
      <w:r w:rsidR="0029227C">
        <w:rPr>
          <w:lang w:eastAsia="en-AU" w:bidi="ar-SA"/>
        </w:rPr>
        <w:t xml:space="preserve"> versions, differing in the region around the cleavage site between the transit peptide and mature protein</w:t>
      </w:r>
      <w:r w:rsidR="00AC2344">
        <w:rPr>
          <w:lang w:eastAsia="en-AU" w:bidi="ar-SA"/>
        </w:rPr>
        <w:t xml:space="preserve"> (Emanuelsson et al. 1999; Rowland et al. 2015; FSANZ 2018)</w:t>
      </w:r>
      <w:r w:rsidR="0029227C">
        <w:rPr>
          <w:lang w:eastAsia="en-AU" w:bidi="ar-SA"/>
        </w:rPr>
        <w:t xml:space="preserve">. The sequence for the amino-terminus of Form 1 &amp; 2 was XMADLYENPM whereas Form 3 had the sequence ADLYENPM, without the methionine at position 1. This difference in the N-terminal sequence between the polypeptides was also confirmed by peptide mapping. </w:t>
      </w:r>
      <w:r w:rsidR="00BD5C82">
        <w:rPr>
          <w:lang w:eastAsia="en-AU" w:bidi="ar-SA"/>
        </w:rPr>
        <w:t>(</w:t>
      </w:r>
      <w:hyperlink w:anchor="Table7" w:history="1">
        <w:r w:rsidR="008B101B" w:rsidRPr="00DC12DE">
          <w:rPr>
            <w:rStyle w:val="Hyperlink"/>
            <w:lang w:eastAsia="en-AU" w:bidi="ar-SA"/>
          </w:rPr>
          <w:t xml:space="preserve">Table </w:t>
        </w:r>
        <w:r w:rsidR="00A04498" w:rsidRPr="00DC12DE">
          <w:rPr>
            <w:rStyle w:val="Hyperlink"/>
            <w:lang w:eastAsia="en-AU" w:bidi="ar-SA"/>
          </w:rPr>
          <w:t>7</w:t>
        </w:r>
      </w:hyperlink>
      <w:r w:rsidR="008B101B">
        <w:rPr>
          <w:lang w:eastAsia="en-AU" w:bidi="ar-SA"/>
        </w:rPr>
        <w:t xml:space="preserve">; </w:t>
      </w:r>
      <w:hyperlink w:anchor="Figure4" w:history="1">
        <w:r w:rsidR="00BD5C82" w:rsidRPr="00DC12DE">
          <w:rPr>
            <w:rStyle w:val="Hyperlink"/>
            <w:lang w:eastAsia="en-AU" w:bidi="ar-SA"/>
          </w:rPr>
          <w:t>Figure 4</w:t>
        </w:r>
      </w:hyperlink>
      <w:r w:rsidR="00BD5C82">
        <w:rPr>
          <w:lang w:eastAsia="en-AU" w:bidi="ar-SA"/>
        </w:rPr>
        <w:t>).</w:t>
      </w:r>
      <w:r w:rsidR="008B101B" w:rsidRPr="008B101B">
        <w:rPr>
          <w:lang w:eastAsia="en-AU" w:bidi="ar-SA"/>
        </w:rPr>
        <w:t xml:space="preserve"> </w:t>
      </w:r>
      <w:r w:rsidR="008B101B">
        <w:rPr>
          <w:lang w:eastAsia="en-AU" w:bidi="ar-SA"/>
        </w:rPr>
        <w:t xml:space="preserve">Peptide mapping </w:t>
      </w:r>
      <w:r w:rsidR="0029227C">
        <w:rPr>
          <w:lang w:eastAsia="en-AU" w:bidi="ar-SA"/>
        </w:rPr>
        <w:t xml:space="preserve">also </w:t>
      </w:r>
      <w:r w:rsidR="008B101B">
        <w:rPr>
          <w:lang w:eastAsia="en-AU" w:bidi="ar-SA"/>
        </w:rPr>
        <w:t xml:space="preserve">showed differences at the carboxyl-terminus, </w:t>
      </w:r>
      <w:r w:rsidR="005144BD">
        <w:rPr>
          <w:lang w:eastAsia="en-AU" w:bidi="ar-SA"/>
        </w:rPr>
        <w:t>where there was absence</w:t>
      </w:r>
      <w:r w:rsidR="008B101B">
        <w:rPr>
          <w:lang w:eastAsia="en-AU" w:bidi="ar-SA"/>
        </w:rPr>
        <w:t xml:space="preserve"> of the final four amino acids (</w:t>
      </w:r>
      <w:r w:rsidR="00611F30">
        <w:rPr>
          <w:lang w:eastAsia="en-AU" w:bidi="ar-SA"/>
        </w:rPr>
        <w:t>-</w:t>
      </w:r>
      <w:r w:rsidR="008B101B">
        <w:rPr>
          <w:lang w:eastAsia="en-AU" w:bidi="ar-SA"/>
        </w:rPr>
        <w:t>LTAD)</w:t>
      </w:r>
      <w:r w:rsidR="0029227C">
        <w:rPr>
          <w:lang w:eastAsia="en-AU" w:bidi="ar-SA"/>
        </w:rPr>
        <w:t xml:space="preserve"> in Form 2 &amp; 3</w:t>
      </w:r>
      <w:r w:rsidR="008B101B">
        <w:rPr>
          <w:lang w:eastAsia="en-AU" w:bidi="ar-SA"/>
        </w:rPr>
        <w:t>.</w:t>
      </w:r>
      <w:r w:rsidR="0029227C">
        <w:rPr>
          <w:lang w:eastAsia="en-AU" w:bidi="ar-SA"/>
        </w:rPr>
        <w:t xml:space="preserve"> The</w:t>
      </w:r>
      <w:r w:rsidR="005144BD">
        <w:rPr>
          <w:lang w:eastAsia="en-AU" w:bidi="ar-SA"/>
        </w:rPr>
        <w:t xml:space="preserve"> potential</w:t>
      </w:r>
      <w:r w:rsidR="0029227C">
        <w:rPr>
          <w:lang w:eastAsia="en-AU" w:bidi="ar-SA"/>
        </w:rPr>
        <w:t xml:space="preserve"> truncation of the protein at the carbo</w:t>
      </w:r>
      <w:r w:rsidR="005144BD">
        <w:rPr>
          <w:lang w:eastAsia="en-AU" w:bidi="ar-SA"/>
        </w:rPr>
        <w:t xml:space="preserve">xyl-terminus may be explained by </w:t>
      </w:r>
      <w:r w:rsidR="00FF6173">
        <w:rPr>
          <w:lang w:eastAsia="en-AU" w:bidi="ar-SA"/>
        </w:rPr>
        <w:t xml:space="preserve">degradation of the </w:t>
      </w:r>
      <w:r w:rsidR="005144BD">
        <w:rPr>
          <w:lang w:eastAsia="en-AU" w:bidi="ar-SA"/>
        </w:rPr>
        <w:t>short fragment resulting from the pre-analysis trypsin digest.</w:t>
      </w:r>
      <w:r w:rsidR="0029227C">
        <w:rPr>
          <w:lang w:eastAsia="en-AU" w:bidi="ar-SA"/>
        </w:rPr>
        <w:t xml:space="preserve"> </w:t>
      </w:r>
      <w:r w:rsidR="005144BD">
        <w:rPr>
          <w:lang w:eastAsia="en-AU" w:bidi="ar-SA"/>
        </w:rPr>
        <w:t>Peptide mapping did show that t</w:t>
      </w:r>
      <w:r w:rsidR="008B101B">
        <w:rPr>
          <w:lang w:eastAsia="en-AU" w:bidi="ar-SA"/>
        </w:rPr>
        <w:t xml:space="preserve">he protein </w:t>
      </w:r>
      <w:r w:rsidR="005144BD">
        <w:rPr>
          <w:lang w:eastAsia="en-AU" w:bidi="ar-SA"/>
        </w:rPr>
        <w:t xml:space="preserve">sequence between the termini </w:t>
      </w:r>
      <w:r w:rsidR="008B101B">
        <w:rPr>
          <w:lang w:eastAsia="en-AU" w:bidi="ar-SA"/>
        </w:rPr>
        <w:t>matched the expected HPPD-4 sequence, with 73% sequence coverage achieved (</w:t>
      </w:r>
      <w:hyperlink w:anchor="Figure4" w:history="1">
        <w:r w:rsidR="008B101B" w:rsidRPr="00DC12DE">
          <w:rPr>
            <w:rStyle w:val="Hyperlink"/>
            <w:lang w:eastAsia="en-AU" w:bidi="ar-SA"/>
          </w:rPr>
          <w:t>Figure 4</w:t>
        </w:r>
      </w:hyperlink>
      <w:r w:rsidR="008B101B">
        <w:rPr>
          <w:lang w:eastAsia="en-AU" w:bidi="ar-SA"/>
        </w:rPr>
        <w:t>).</w:t>
      </w:r>
    </w:p>
    <w:p w14:paraId="45481289" w14:textId="77777777" w:rsidR="00AC2344" w:rsidRDefault="00AC2344" w:rsidP="00AC2344">
      <w:pPr>
        <w:pStyle w:val="FSTableTitle"/>
        <w:spacing w:after="120"/>
        <w:rPr>
          <w:lang w:eastAsia="en-AU" w:bidi="ar-SA"/>
        </w:rPr>
      </w:pPr>
    </w:p>
    <w:p w14:paraId="6A7E0713" w14:textId="6D4079CE" w:rsidR="00DB173E" w:rsidRDefault="00AC2344" w:rsidP="00AC2344">
      <w:pPr>
        <w:pStyle w:val="FSTableTitle"/>
        <w:spacing w:after="120"/>
        <w:ind w:left="426"/>
        <w:rPr>
          <w:lang w:eastAsia="en-AU" w:bidi="ar-SA"/>
        </w:rPr>
      </w:pPr>
      <w:bookmarkStart w:id="182" w:name="Table7"/>
      <w:r>
        <w:rPr>
          <w:lang w:eastAsia="en-AU" w:bidi="ar-SA"/>
        </w:rPr>
        <w:t xml:space="preserve">Table </w:t>
      </w:r>
      <w:r w:rsidR="00A04498">
        <w:rPr>
          <w:lang w:eastAsia="en-AU" w:bidi="ar-SA"/>
        </w:rPr>
        <w:t>7</w:t>
      </w:r>
      <w:bookmarkEnd w:id="182"/>
      <w:r>
        <w:rPr>
          <w:lang w:eastAsia="en-AU" w:bidi="ar-SA"/>
        </w:rPr>
        <w:t>: Characterisation of HPPD-4 protein by mass spectrometry</w:t>
      </w:r>
    </w:p>
    <w:tbl>
      <w:tblPr>
        <w:tblStyle w:val="TableGrid"/>
        <w:tblW w:w="0" w:type="auto"/>
        <w:tblInd w:w="562" w:type="dxa"/>
        <w:tblLook w:val="04A0" w:firstRow="1" w:lastRow="0" w:firstColumn="1" w:lastColumn="0" w:noHBand="0" w:noVBand="1"/>
        <w:tblCaption w:val="Table 7"/>
        <w:tblDescription w:val="Characterisation of HPPD-4 protein by mass spectrometry"/>
      </w:tblPr>
      <w:tblGrid>
        <w:gridCol w:w="1036"/>
        <w:gridCol w:w="1537"/>
        <w:gridCol w:w="1537"/>
      </w:tblGrid>
      <w:tr w:rsidR="0029227C" w14:paraId="7851CFBC" w14:textId="77777777" w:rsidTr="0029227C">
        <w:trPr>
          <w:trHeight w:val="283"/>
        </w:trPr>
        <w:tc>
          <w:tcPr>
            <w:tcW w:w="1036" w:type="dxa"/>
            <w:shd w:val="clear" w:color="auto" w:fill="7F7F7F" w:themeFill="text1" w:themeFillTint="80"/>
            <w:vAlign w:val="center"/>
          </w:tcPr>
          <w:p w14:paraId="0DCC878F" w14:textId="320FA7B3" w:rsidR="0029227C" w:rsidRPr="008B101B" w:rsidRDefault="0029227C" w:rsidP="0029227C">
            <w:pPr>
              <w:jc w:val="center"/>
              <w:rPr>
                <w:b/>
                <w:color w:val="FFFFFF" w:themeColor="background1"/>
                <w:sz w:val="20"/>
                <w:lang w:eastAsia="en-AU" w:bidi="ar-SA"/>
              </w:rPr>
            </w:pPr>
            <w:r w:rsidRPr="008B101B">
              <w:rPr>
                <w:b/>
                <w:color w:val="FFFFFF" w:themeColor="background1"/>
                <w:sz w:val="20"/>
                <w:lang w:eastAsia="en-AU" w:bidi="ar-SA"/>
              </w:rPr>
              <w:t>Form</w:t>
            </w:r>
          </w:p>
        </w:tc>
        <w:tc>
          <w:tcPr>
            <w:tcW w:w="1537" w:type="dxa"/>
            <w:shd w:val="clear" w:color="auto" w:fill="7F7F7F" w:themeFill="text1" w:themeFillTint="80"/>
            <w:vAlign w:val="center"/>
          </w:tcPr>
          <w:p w14:paraId="615744DE" w14:textId="0BE725CA" w:rsidR="0029227C" w:rsidRPr="008B101B" w:rsidRDefault="0029227C" w:rsidP="0029227C">
            <w:pPr>
              <w:jc w:val="center"/>
              <w:rPr>
                <w:b/>
                <w:color w:val="FFFFFF" w:themeColor="background1"/>
                <w:sz w:val="20"/>
                <w:lang w:eastAsia="en-AU" w:bidi="ar-SA"/>
              </w:rPr>
            </w:pPr>
            <w:r w:rsidRPr="008B101B">
              <w:rPr>
                <w:b/>
                <w:color w:val="FFFFFF" w:themeColor="background1"/>
                <w:sz w:val="20"/>
                <w:lang w:eastAsia="en-AU" w:bidi="ar-SA"/>
              </w:rPr>
              <w:t>Mass (Da)</w:t>
            </w:r>
          </w:p>
        </w:tc>
        <w:tc>
          <w:tcPr>
            <w:tcW w:w="1537" w:type="dxa"/>
            <w:shd w:val="clear" w:color="auto" w:fill="7F7F7F" w:themeFill="text1" w:themeFillTint="80"/>
            <w:vAlign w:val="center"/>
          </w:tcPr>
          <w:p w14:paraId="7A791FE9" w14:textId="17B1B7A6" w:rsidR="0029227C" w:rsidRPr="008B101B" w:rsidRDefault="0029227C" w:rsidP="0029227C">
            <w:pPr>
              <w:jc w:val="center"/>
              <w:rPr>
                <w:b/>
                <w:color w:val="FFFFFF" w:themeColor="background1"/>
                <w:sz w:val="20"/>
                <w:lang w:eastAsia="en-AU" w:bidi="ar-SA"/>
              </w:rPr>
            </w:pPr>
            <w:r w:rsidRPr="008B101B">
              <w:rPr>
                <w:b/>
                <w:color w:val="FFFFFF" w:themeColor="background1"/>
                <w:sz w:val="20"/>
                <w:lang w:eastAsia="en-AU" w:bidi="ar-SA"/>
              </w:rPr>
              <w:t>Amino acids</w:t>
            </w:r>
          </w:p>
        </w:tc>
      </w:tr>
      <w:tr w:rsidR="0029227C" w14:paraId="5EAE3EFC" w14:textId="77777777" w:rsidTr="0029227C">
        <w:trPr>
          <w:trHeight w:val="283"/>
        </w:trPr>
        <w:tc>
          <w:tcPr>
            <w:tcW w:w="1036" w:type="dxa"/>
            <w:vAlign w:val="center"/>
          </w:tcPr>
          <w:p w14:paraId="759B59F4" w14:textId="390851F3" w:rsidR="0029227C" w:rsidRPr="0029227C" w:rsidRDefault="0029227C" w:rsidP="0029227C">
            <w:pPr>
              <w:jc w:val="center"/>
              <w:rPr>
                <w:sz w:val="20"/>
                <w:lang w:eastAsia="en-AU" w:bidi="ar-SA"/>
              </w:rPr>
            </w:pPr>
            <w:r w:rsidRPr="0029227C">
              <w:rPr>
                <w:sz w:val="20"/>
                <w:lang w:eastAsia="en-AU" w:bidi="ar-SA"/>
              </w:rPr>
              <w:t>1</w:t>
            </w:r>
          </w:p>
        </w:tc>
        <w:tc>
          <w:tcPr>
            <w:tcW w:w="1537" w:type="dxa"/>
            <w:vAlign w:val="center"/>
          </w:tcPr>
          <w:p w14:paraId="6B856623" w14:textId="3DA1722D" w:rsidR="0029227C" w:rsidRPr="0029227C" w:rsidRDefault="0029227C" w:rsidP="0029227C">
            <w:pPr>
              <w:jc w:val="center"/>
              <w:rPr>
                <w:sz w:val="20"/>
                <w:lang w:eastAsia="en-AU" w:bidi="ar-SA"/>
              </w:rPr>
            </w:pPr>
            <w:r w:rsidRPr="0029227C">
              <w:rPr>
                <w:sz w:val="20"/>
                <w:lang w:eastAsia="en-AU" w:bidi="ar-SA"/>
              </w:rPr>
              <w:t>40415.1</w:t>
            </w:r>
          </w:p>
        </w:tc>
        <w:tc>
          <w:tcPr>
            <w:tcW w:w="1537" w:type="dxa"/>
            <w:vAlign w:val="center"/>
          </w:tcPr>
          <w:p w14:paraId="63D6CCD1" w14:textId="63FED80D" w:rsidR="0029227C" w:rsidRPr="0029227C" w:rsidRDefault="0029227C" w:rsidP="0029227C">
            <w:pPr>
              <w:jc w:val="center"/>
              <w:rPr>
                <w:sz w:val="20"/>
                <w:lang w:eastAsia="en-AU" w:bidi="ar-SA"/>
              </w:rPr>
            </w:pPr>
            <w:r w:rsidRPr="0029227C">
              <w:rPr>
                <w:sz w:val="20"/>
                <w:lang w:eastAsia="en-AU" w:bidi="ar-SA"/>
              </w:rPr>
              <w:t>1-358</w:t>
            </w:r>
          </w:p>
        </w:tc>
      </w:tr>
      <w:tr w:rsidR="0029227C" w14:paraId="1C136DB8" w14:textId="77777777" w:rsidTr="0029227C">
        <w:trPr>
          <w:trHeight w:val="283"/>
        </w:trPr>
        <w:tc>
          <w:tcPr>
            <w:tcW w:w="1036" w:type="dxa"/>
            <w:shd w:val="clear" w:color="auto" w:fill="D9D9D9" w:themeFill="background1" w:themeFillShade="D9"/>
            <w:vAlign w:val="center"/>
          </w:tcPr>
          <w:p w14:paraId="5DB32F00" w14:textId="3B8F143D" w:rsidR="0029227C" w:rsidRPr="0029227C" w:rsidRDefault="0029227C" w:rsidP="0029227C">
            <w:pPr>
              <w:jc w:val="center"/>
              <w:rPr>
                <w:sz w:val="20"/>
                <w:lang w:eastAsia="en-AU" w:bidi="ar-SA"/>
              </w:rPr>
            </w:pPr>
            <w:r w:rsidRPr="0029227C">
              <w:rPr>
                <w:sz w:val="20"/>
                <w:lang w:eastAsia="en-AU" w:bidi="ar-SA"/>
              </w:rPr>
              <w:t>2</w:t>
            </w:r>
          </w:p>
        </w:tc>
        <w:tc>
          <w:tcPr>
            <w:tcW w:w="1537" w:type="dxa"/>
            <w:shd w:val="clear" w:color="auto" w:fill="D9D9D9" w:themeFill="background1" w:themeFillShade="D9"/>
            <w:vAlign w:val="center"/>
          </w:tcPr>
          <w:p w14:paraId="2796EA8D" w14:textId="75A6003C" w:rsidR="0029227C" w:rsidRPr="0029227C" w:rsidRDefault="0029227C" w:rsidP="0029227C">
            <w:pPr>
              <w:jc w:val="center"/>
              <w:rPr>
                <w:sz w:val="20"/>
                <w:lang w:eastAsia="en-AU" w:bidi="ar-SA"/>
              </w:rPr>
            </w:pPr>
            <w:r w:rsidRPr="0029227C">
              <w:rPr>
                <w:sz w:val="20"/>
                <w:lang w:eastAsia="en-AU" w:bidi="ar-SA"/>
              </w:rPr>
              <w:t>40041.7</w:t>
            </w:r>
          </w:p>
        </w:tc>
        <w:tc>
          <w:tcPr>
            <w:tcW w:w="1537" w:type="dxa"/>
            <w:shd w:val="clear" w:color="auto" w:fill="D9D9D9" w:themeFill="background1" w:themeFillShade="D9"/>
            <w:vAlign w:val="center"/>
          </w:tcPr>
          <w:p w14:paraId="3E1EEA97" w14:textId="7300D27B" w:rsidR="0029227C" w:rsidRPr="0029227C" w:rsidRDefault="0029227C" w:rsidP="0029227C">
            <w:pPr>
              <w:jc w:val="center"/>
              <w:rPr>
                <w:sz w:val="20"/>
                <w:lang w:eastAsia="en-AU" w:bidi="ar-SA"/>
              </w:rPr>
            </w:pPr>
            <w:r w:rsidRPr="0029227C">
              <w:rPr>
                <w:sz w:val="20"/>
                <w:lang w:eastAsia="en-AU" w:bidi="ar-SA"/>
              </w:rPr>
              <w:t>1-354</w:t>
            </w:r>
          </w:p>
        </w:tc>
      </w:tr>
      <w:tr w:rsidR="0029227C" w14:paraId="2970E072" w14:textId="77777777" w:rsidTr="0029227C">
        <w:trPr>
          <w:trHeight w:val="283"/>
        </w:trPr>
        <w:tc>
          <w:tcPr>
            <w:tcW w:w="1036" w:type="dxa"/>
            <w:vAlign w:val="center"/>
          </w:tcPr>
          <w:p w14:paraId="3064EE4E" w14:textId="0A8AFC62" w:rsidR="0029227C" w:rsidRPr="0029227C" w:rsidRDefault="0029227C" w:rsidP="0029227C">
            <w:pPr>
              <w:jc w:val="center"/>
              <w:rPr>
                <w:sz w:val="20"/>
                <w:lang w:eastAsia="en-AU" w:bidi="ar-SA"/>
              </w:rPr>
            </w:pPr>
            <w:r w:rsidRPr="0029227C">
              <w:rPr>
                <w:sz w:val="20"/>
                <w:lang w:eastAsia="en-AU" w:bidi="ar-SA"/>
              </w:rPr>
              <w:t>3</w:t>
            </w:r>
          </w:p>
        </w:tc>
        <w:tc>
          <w:tcPr>
            <w:tcW w:w="1537" w:type="dxa"/>
            <w:vAlign w:val="center"/>
          </w:tcPr>
          <w:p w14:paraId="16177570" w14:textId="7C640078" w:rsidR="0029227C" w:rsidRPr="0029227C" w:rsidRDefault="0029227C" w:rsidP="0029227C">
            <w:pPr>
              <w:jc w:val="center"/>
              <w:rPr>
                <w:sz w:val="20"/>
                <w:lang w:eastAsia="en-AU" w:bidi="ar-SA"/>
              </w:rPr>
            </w:pPr>
            <w:r w:rsidRPr="0029227C">
              <w:rPr>
                <w:sz w:val="20"/>
                <w:lang w:eastAsia="en-AU" w:bidi="ar-SA"/>
              </w:rPr>
              <w:t>39748.3</w:t>
            </w:r>
          </w:p>
        </w:tc>
        <w:tc>
          <w:tcPr>
            <w:tcW w:w="1537" w:type="dxa"/>
            <w:vAlign w:val="center"/>
          </w:tcPr>
          <w:p w14:paraId="2B170499" w14:textId="33383E40" w:rsidR="0029227C" w:rsidRPr="0029227C" w:rsidRDefault="0029227C" w:rsidP="0029227C">
            <w:pPr>
              <w:jc w:val="center"/>
              <w:rPr>
                <w:sz w:val="20"/>
                <w:lang w:eastAsia="en-AU" w:bidi="ar-SA"/>
              </w:rPr>
            </w:pPr>
            <w:r w:rsidRPr="0029227C">
              <w:rPr>
                <w:sz w:val="20"/>
                <w:lang w:eastAsia="en-AU" w:bidi="ar-SA"/>
              </w:rPr>
              <w:t>2-354</w:t>
            </w:r>
          </w:p>
        </w:tc>
      </w:tr>
    </w:tbl>
    <w:p w14:paraId="6470D6F6" w14:textId="61B8BBE0" w:rsidR="004B4D1E" w:rsidRDefault="004B4D1E" w:rsidP="004B4D1E">
      <w:pPr>
        <w:rPr>
          <w:lang w:eastAsia="en-AU" w:bidi="ar-SA"/>
        </w:rPr>
      </w:pPr>
    </w:p>
    <w:p w14:paraId="070C6D06" w14:textId="77777777" w:rsidR="00CB3819" w:rsidRDefault="00CB3819" w:rsidP="004B4D1E">
      <w:pPr>
        <w:rPr>
          <w:lang w:eastAsia="en-AU" w:bidi="ar-SA"/>
        </w:rPr>
      </w:pPr>
    </w:p>
    <w:p w14:paraId="57F3902E" w14:textId="44D56D83" w:rsidR="004B4D1E" w:rsidRDefault="00C945A8" w:rsidP="004B4D1E">
      <w:pPr>
        <w:rPr>
          <w:lang w:eastAsia="en-AU" w:bidi="ar-SA"/>
        </w:rPr>
      </w:pPr>
      <w:r>
        <w:rPr>
          <w:noProof/>
          <w:lang w:eastAsia="en-GB" w:bidi="ar-SA"/>
        </w:rPr>
        <w:drawing>
          <wp:anchor distT="0" distB="0" distL="114300" distR="114300" simplePos="0" relativeHeight="251661824" behindDoc="0" locked="0" layoutInCell="1" allowOverlap="1" wp14:anchorId="242F803A" wp14:editId="01D2DEB3">
            <wp:simplePos x="0" y="0"/>
            <wp:positionH relativeFrom="column">
              <wp:posOffset>309245</wp:posOffset>
            </wp:positionH>
            <wp:positionV relativeFrom="paragraph">
              <wp:posOffset>31750</wp:posOffset>
            </wp:positionV>
            <wp:extent cx="4924425" cy="1002665"/>
            <wp:effectExtent l="133350" t="114300" r="123825" b="159385"/>
            <wp:wrapNone/>
            <wp:docPr id="2" name="Picture 2" descr="Tryptic peptide map of the GMB151-produced HPPD-4 protein. The deduced amino acid sequence is 358 amino acids as shown. Boxed regions correspond to peptide sequence coverage achieved using MALDI-TOF MS, from the plant-produced protein sample."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4425" cy="10026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7316BEC3" w14:textId="6A07B48F" w:rsidR="00C945A8" w:rsidRDefault="00C945A8" w:rsidP="004B4D1E">
      <w:pPr>
        <w:pStyle w:val="FSFigureTitle"/>
        <w:rPr>
          <w:lang w:eastAsia="en-AU" w:bidi="ar-SA"/>
        </w:rPr>
      </w:pPr>
    </w:p>
    <w:p w14:paraId="308F60E2" w14:textId="77777777" w:rsidR="00C945A8" w:rsidRDefault="00C945A8" w:rsidP="004B4D1E">
      <w:pPr>
        <w:pStyle w:val="FSFigureTitle"/>
        <w:rPr>
          <w:lang w:eastAsia="en-AU" w:bidi="ar-SA"/>
        </w:rPr>
      </w:pPr>
    </w:p>
    <w:p w14:paraId="459BCB9A" w14:textId="77777777" w:rsidR="00C945A8" w:rsidRDefault="00C945A8" w:rsidP="004B4D1E">
      <w:pPr>
        <w:pStyle w:val="FSFigureTitle"/>
        <w:rPr>
          <w:lang w:eastAsia="en-AU" w:bidi="ar-SA"/>
        </w:rPr>
      </w:pPr>
    </w:p>
    <w:p w14:paraId="7BA6CC28" w14:textId="77777777" w:rsidR="00C945A8" w:rsidRDefault="00C945A8" w:rsidP="004B4D1E">
      <w:pPr>
        <w:pStyle w:val="FSFigureTitle"/>
        <w:rPr>
          <w:lang w:eastAsia="en-AU" w:bidi="ar-SA"/>
        </w:rPr>
      </w:pPr>
    </w:p>
    <w:p w14:paraId="0881E3A0" w14:textId="77777777" w:rsidR="00C945A8" w:rsidRDefault="00C945A8" w:rsidP="004B4D1E">
      <w:pPr>
        <w:pStyle w:val="FSFigureTitle"/>
        <w:rPr>
          <w:lang w:eastAsia="en-AU" w:bidi="ar-SA"/>
        </w:rPr>
      </w:pPr>
    </w:p>
    <w:p w14:paraId="70626EEB" w14:textId="77777777" w:rsidR="00C945A8" w:rsidRDefault="00C945A8" w:rsidP="004B4D1E">
      <w:pPr>
        <w:pStyle w:val="FSFigureTitle"/>
        <w:rPr>
          <w:lang w:eastAsia="en-AU" w:bidi="ar-SA"/>
        </w:rPr>
      </w:pPr>
    </w:p>
    <w:p w14:paraId="07AF2B13" w14:textId="78F602F3" w:rsidR="004B4D1E" w:rsidRDefault="004B4D1E" w:rsidP="004B4D1E">
      <w:pPr>
        <w:pStyle w:val="FSFigureTitle"/>
        <w:rPr>
          <w:lang w:eastAsia="en-AU" w:bidi="ar-SA"/>
        </w:rPr>
      </w:pPr>
      <w:bookmarkStart w:id="183" w:name="Figure4"/>
      <w:r w:rsidRPr="00062E39">
        <w:rPr>
          <w:lang w:eastAsia="en-AU" w:bidi="ar-SA"/>
        </w:rPr>
        <w:t xml:space="preserve">Figure </w:t>
      </w:r>
      <w:r w:rsidR="005144BD">
        <w:rPr>
          <w:lang w:eastAsia="en-AU" w:bidi="ar-SA"/>
        </w:rPr>
        <w:t>4</w:t>
      </w:r>
      <w:bookmarkEnd w:id="183"/>
      <w:r w:rsidRPr="00062E39">
        <w:rPr>
          <w:lang w:eastAsia="en-AU" w:bidi="ar-SA"/>
        </w:rPr>
        <w:t xml:space="preserve">: Tryptic </w:t>
      </w:r>
      <w:r w:rsidR="00DA518B">
        <w:rPr>
          <w:lang w:eastAsia="en-AU" w:bidi="ar-SA"/>
        </w:rPr>
        <w:t>p</w:t>
      </w:r>
      <w:r w:rsidRPr="00062E39">
        <w:rPr>
          <w:lang w:eastAsia="en-AU" w:bidi="ar-SA"/>
        </w:rPr>
        <w:t xml:space="preserve">eptide </w:t>
      </w:r>
      <w:r w:rsidR="00DA518B">
        <w:rPr>
          <w:lang w:eastAsia="en-AU" w:bidi="ar-SA"/>
        </w:rPr>
        <w:t>m</w:t>
      </w:r>
      <w:r w:rsidRPr="00062E39">
        <w:rPr>
          <w:lang w:eastAsia="en-AU" w:bidi="ar-SA"/>
        </w:rPr>
        <w:t>ap of the G</w:t>
      </w:r>
      <w:r w:rsidR="005144BD">
        <w:rPr>
          <w:lang w:eastAsia="en-AU" w:bidi="ar-SA"/>
        </w:rPr>
        <w:t>M</w:t>
      </w:r>
      <w:r w:rsidRPr="00062E39">
        <w:rPr>
          <w:lang w:eastAsia="en-AU" w:bidi="ar-SA"/>
        </w:rPr>
        <w:t>B</w:t>
      </w:r>
      <w:r w:rsidR="005144BD">
        <w:rPr>
          <w:lang w:eastAsia="en-AU" w:bidi="ar-SA"/>
        </w:rPr>
        <w:t>151</w:t>
      </w:r>
      <w:r w:rsidRPr="00062E39">
        <w:rPr>
          <w:lang w:eastAsia="en-AU" w:bidi="ar-SA"/>
        </w:rPr>
        <w:t xml:space="preserve">-produced </w:t>
      </w:r>
      <w:r>
        <w:rPr>
          <w:lang w:eastAsia="en-AU" w:bidi="ar-SA"/>
        </w:rPr>
        <w:t>HPPD</w:t>
      </w:r>
      <w:r w:rsidR="005144BD">
        <w:rPr>
          <w:lang w:eastAsia="en-AU" w:bidi="ar-SA"/>
        </w:rPr>
        <w:t>-4</w:t>
      </w:r>
      <w:r w:rsidRPr="00062E39">
        <w:rPr>
          <w:lang w:eastAsia="en-AU" w:bidi="ar-SA"/>
        </w:rPr>
        <w:t xml:space="preserve"> protein. The deduced amino acid sequence is </w:t>
      </w:r>
      <w:r>
        <w:rPr>
          <w:lang w:eastAsia="en-AU" w:bidi="ar-SA"/>
        </w:rPr>
        <w:t>358</w:t>
      </w:r>
      <w:r w:rsidRPr="00062E39">
        <w:rPr>
          <w:lang w:eastAsia="en-AU" w:bidi="ar-SA"/>
        </w:rPr>
        <w:t xml:space="preserve"> amino acids as shown. Boxed regions correspond to </w:t>
      </w:r>
      <w:r>
        <w:rPr>
          <w:lang w:eastAsia="en-AU" w:bidi="ar-SA"/>
        </w:rPr>
        <w:t xml:space="preserve">peptide sequence coverage achieved </w:t>
      </w:r>
      <w:r w:rsidRPr="00062E39">
        <w:rPr>
          <w:lang w:eastAsia="en-AU" w:bidi="ar-SA"/>
        </w:rPr>
        <w:t>using MALDI-TOF MS</w:t>
      </w:r>
      <w:r>
        <w:rPr>
          <w:lang w:eastAsia="en-AU" w:bidi="ar-SA"/>
        </w:rPr>
        <w:t>,</w:t>
      </w:r>
      <w:r w:rsidRPr="00722526">
        <w:rPr>
          <w:lang w:eastAsia="en-AU" w:bidi="ar-SA"/>
        </w:rPr>
        <w:t xml:space="preserve"> </w:t>
      </w:r>
      <w:r w:rsidRPr="00062E39">
        <w:rPr>
          <w:lang w:eastAsia="en-AU" w:bidi="ar-SA"/>
        </w:rPr>
        <w:t>from the plant-produced protein sample</w:t>
      </w:r>
      <w:r>
        <w:rPr>
          <w:lang w:eastAsia="en-AU" w:bidi="ar-SA"/>
        </w:rPr>
        <w:t>.</w:t>
      </w:r>
    </w:p>
    <w:p w14:paraId="66143292" w14:textId="77777777" w:rsidR="004B4D1E" w:rsidRDefault="004B4D1E" w:rsidP="004B4D1E">
      <w:pPr>
        <w:rPr>
          <w:lang w:eastAsia="en-AU" w:bidi="ar-SA"/>
        </w:rPr>
      </w:pPr>
    </w:p>
    <w:p w14:paraId="2FE4ED7F" w14:textId="205B3304" w:rsidR="004B4D1E" w:rsidRDefault="004B4D1E" w:rsidP="004B4D1E">
      <w:pPr>
        <w:rPr>
          <w:lang w:eastAsia="en-AU" w:bidi="ar-SA"/>
        </w:rPr>
      </w:pPr>
      <w:r>
        <w:rPr>
          <w:lang w:eastAsia="en-AU" w:bidi="ar-SA"/>
        </w:rPr>
        <w:t>The protein was shown to be functional</w:t>
      </w:r>
      <w:r w:rsidR="00611F30">
        <w:rPr>
          <w:lang w:eastAsia="en-AU" w:bidi="ar-SA"/>
        </w:rPr>
        <w:t xml:space="preserve"> </w:t>
      </w:r>
      <w:r w:rsidR="00611F30" w:rsidRPr="00611F30">
        <w:rPr>
          <w:i/>
          <w:lang w:eastAsia="en-AU" w:bidi="ar-SA"/>
        </w:rPr>
        <w:t>in planta</w:t>
      </w:r>
      <w:r>
        <w:rPr>
          <w:lang w:eastAsia="en-AU" w:bidi="ar-SA"/>
        </w:rPr>
        <w:t xml:space="preserve"> due to the demonstrated resistance to </w:t>
      </w:r>
      <w:r w:rsidR="00611F30">
        <w:rPr>
          <w:lang w:eastAsia="en-AU" w:bidi="ar-SA"/>
        </w:rPr>
        <w:t>the HPPD-inhibitor</w:t>
      </w:r>
      <w:r>
        <w:rPr>
          <w:lang w:eastAsia="en-AU" w:bidi="ar-SA"/>
        </w:rPr>
        <w:t xml:space="preserve"> </w:t>
      </w:r>
      <w:r w:rsidR="00611F30" w:rsidRPr="00682939">
        <w:t>tembotrione</w:t>
      </w:r>
      <w:r w:rsidR="00611F30">
        <w:rPr>
          <w:lang w:eastAsia="en-AU" w:bidi="ar-SA"/>
        </w:rPr>
        <w:t xml:space="preserve"> </w:t>
      </w:r>
      <w:r>
        <w:rPr>
          <w:lang w:eastAsia="en-AU" w:bidi="ar-SA"/>
        </w:rPr>
        <w:t>during selection of transformants</w:t>
      </w:r>
      <w:r w:rsidR="00770811">
        <w:rPr>
          <w:lang w:eastAsia="en-AU" w:bidi="ar-SA"/>
        </w:rPr>
        <w:t xml:space="preserve"> (</w:t>
      </w:r>
      <w:hyperlink w:anchor="_3.1_Transformation_Method" w:history="1">
        <w:r w:rsidR="00770811" w:rsidRPr="00DC12DE">
          <w:rPr>
            <w:rStyle w:val="Hyperlink"/>
            <w:lang w:eastAsia="en-AU" w:bidi="ar-SA"/>
          </w:rPr>
          <w:t>S</w:t>
        </w:r>
        <w:r w:rsidRPr="00DC12DE">
          <w:rPr>
            <w:rStyle w:val="Hyperlink"/>
            <w:lang w:eastAsia="en-AU" w:bidi="ar-SA"/>
          </w:rPr>
          <w:t>ection 3.1</w:t>
        </w:r>
      </w:hyperlink>
      <w:r>
        <w:rPr>
          <w:lang w:eastAsia="en-AU" w:bidi="ar-SA"/>
        </w:rPr>
        <w:t>)</w:t>
      </w:r>
      <w:r w:rsidR="00770811">
        <w:rPr>
          <w:lang w:eastAsia="en-AU" w:bidi="ar-SA"/>
        </w:rPr>
        <w:t xml:space="preserve"> and tolerance to isoxaflutole during cultivation (</w:t>
      </w:r>
      <w:hyperlink w:anchor="_5.2_Study_design" w:history="1">
        <w:r w:rsidR="00770811" w:rsidRPr="0041039A">
          <w:rPr>
            <w:rStyle w:val="Hyperlink"/>
            <w:lang w:eastAsia="en-AU" w:bidi="ar-SA"/>
          </w:rPr>
          <w:t xml:space="preserve">Section </w:t>
        </w:r>
        <w:r w:rsidR="0041039A" w:rsidRPr="0041039A">
          <w:rPr>
            <w:rStyle w:val="Hyperlink"/>
            <w:lang w:eastAsia="en-AU" w:bidi="ar-SA"/>
          </w:rPr>
          <w:t>5.2</w:t>
        </w:r>
      </w:hyperlink>
      <w:r w:rsidR="00770811">
        <w:rPr>
          <w:lang w:eastAsia="en-AU" w:bidi="ar-SA"/>
        </w:rPr>
        <w:t>)</w:t>
      </w:r>
      <w:r>
        <w:rPr>
          <w:lang w:eastAsia="en-AU" w:bidi="ar-SA"/>
        </w:rPr>
        <w:t>. Finally, the protein was shown by a modified Periodic Acid-Schiff staining procedure to be non-glycosylated. This data indicates that no unintentional glycosylation has occurred in the modified plant expressed protein.</w:t>
      </w:r>
    </w:p>
    <w:p w14:paraId="7C77EE89" w14:textId="77777777" w:rsidR="004B4D1E" w:rsidRDefault="004B4D1E" w:rsidP="004B4D1E">
      <w:pPr>
        <w:rPr>
          <w:lang w:eastAsia="en-AU" w:bidi="ar-SA"/>
        </w:rPr>
      </w:pPr>
    </w:p>
    <w:p w14:paraId="2006EFF6" w14:textId="6616795C" w:rsidR="004B4D1E" w:rsidRDefault="004B4D1E" w:rsidP="004B4D1E">
      <w:pPr>
        <w:rPr>
          <w:lang w:eastAsia="en-AU" w:bidi="ar-SA"/>
        </w:rPr>
      </w:pPr>
      <w:r>
        <w:rPr>
          <w:lang w:eastAsia="en-AU" w:bidi="ar-SA"/>
        </w:rPr>
        <w:t xml:space="preserve">The mature </w:t>
      </w:r>
      <w:r>
        <w:t>HPPD</w:t>
      </w:r>
      <w:r w:rsidR="007F5832">
        <w:rPr>
          <w:i/>
        </w:rPr>
        <w:t>-</w:t>
      </w:r>
      <w:r w:rsidR="007F5832" w:rsidRPr="007F5832">
        <w:t>4</w:t>
      </w:r>
      <w:r>
        <w:rPr>
          <w:lang w:eastAsia="en-AU" w:bidi="ar-SA"/>
        </w:rPr>
        <w:t xml:space="preserve"> protein was also expressed in </w:t>
      </w:r>
      <w:r w:rsidRPr="00AA6C38">
        <w:rPr>
          <w:i/>
          <w:lang w:eastAsia="en-AU" w:bidi="ar-SA"/>
        </w:rPr>
        <w:t>E</w:t>
      </w:r>
      <w:r>
        <w:rPr>
          <w:i/>
          <w:lang w:eastAsia="en-AU" w:bidi="ar-SA"/>
        </w:rPr>
        <w:t>.</w:t>
      </w:r>
      <w:r w:rsidRPr="00AA6C38">
        <w:rPr>
          <w:i/>
          <w:lang w:eastAsia="en-AU" w:bidi="ar-SA"/>
        </w:rPr>
        <w:t xml:space="preserve"> coli</w:t>
      </w:r>
      <w:r>
        <w:rPr>
          <w:lang w:eastAsia="en-AU" w:bidi="ar-SA"/>
        </w:rPr>
        <w:t xml:space="preserve">. The bacterially-derived protein was shown by electrophoresis </w:t>
      </w:r>
      <w:r w:rsidR="007F5832">
        <w:rPr>
          <w:lang w:eastAsia="en-AU" w:bidi="ar-SA"/>
        </w:rPr>
        <w:t xml:space="preserve">and western blotting </w:t>
      </w:r>
      <w:r>
        <w:rPr>
          <w:lang w:eastAsia="en-AU" w:bidi="ar-SA"/>
        </w:rPr>
        <w:t xml:space="preserve">to have a similar mass as the protein extracted from </w:t>
      </w:r>
      <w:r w:rsidR="007F5832">
        <w:rPr>
          <w:lang w:eastAsia="en-AU" w:bidi="ar-SA"/>
        </w:rPr>
        <w:t>GMB151</w:t>
      </w:r>
      <w:r>
        <w:rPr>
          <w:lang w:eastAsia="en-AU" w:bidi="ar-SA"/>
        </w:rPr>
        <w:t xml:space="preserve">. </w:t>
      </w:r>
      <w:r w:rsidR="007F5832">
        <w:rPr>
          <w:lang w:eastAsia="en-AU" w:bidi="ar-SA"/>
        </w:rPr>
        <w:t xml:space="preserve">Western blotting also showed that the protein was immunoreactive to a HPPD antibody. </w:t>
      </w:r>
      <w:r>
        <w:rPr>
          <w:lang w:eastAsia="en-AU" w:bidi="ar-SA"/>
        </w:rPr>
        <w:t xml:space="preserve">Mass spectrometry </w:t>
      </w:r>
      <w:r w:rsidR="007F5832">
        <w:rPr>
          <w:lang w:eastAsia="en-AU" w:bidi="ar-SA"/>
        </w:rPr>
        <w:t xml:space="preserve">showed </w:t>
      </w:r>
      <w:r>
        <w:rPr>
          <w:lang w:eastAsia="en-AU" w:bidi="ar-SA"/>
        </w:rPr>
        <w:t>the mass was 40181</w:t>
      </w:r>
      <w:r w:rsidR="007F5832">
        <w:rPr>
          <w:lang w:eastAsia="en-AU" w:bidi="ar-SA"/>
        </w:rPr>
        <w:t>.1</w:t>
      </w:r>
      <w:r>
        <w:rPr>
          <w:lang w:eastAsia="en-AU" w:bidi="ar-SA"/>
        </w:rPr>
        <w:t xml:space="preserve"> Da. Peptide mapping and N-terminal sequencing confirmed the sequence matched </w:t>
      </w:r>
      <w:r>
        <w:t>HPPD</w:t>
      </w:r>
      <w:r w:rsidR="007F5832" w:rsidRPr="007F5832">
        <w:t>-4</w:t>
      </w:r>
      <w:r>
        <w:rPr>
          <w:lang w:eastAsia="en-AU" w:bidi="ar-SA"/>
        </w:rPr>
        <w:t xml:space="preserve"> with no N-terminal methionine. The expressed protein was also shown to be non-glycosylated. These data demonstrate</w:t>
      </w:r>
      <w:r w:rsidR="00FA3AD6">
        <w:rPr>
          <w:lang w:eastAsia="en-AU" w:bidi="ar-SA"/>
        </w:rPr>
        <w:t>s</w:t>
      </w:r>
      <w:r>
        <w:rPr>
          <w:lang w:eastAsia="en-AU" w:bidi="ar-SA"/>
        </w:rPr>
        <w:t xml:space="preserve"> that the bacterially-</w:t>
      </w:r>
      <w:r w:rsidR="00FA3AD6">
        <w:rPr>
          <w:lang w:eastAsia="en-AU" w:bidi="ar-SA"/>
        </w:rPr>
        <w:t>produced</w:t>
      </w:r>
      <w:r>
        <w:rPr>
          <w:lang w:eastAsia="en-AU" w:bidi="ar-SA"/>
        </w:rPr>
        <w:t xml:space="preserve"> protein </w:t>
      </w:r>
      <w:r w:rsidR="00FA3AD6">
        <w:rPr>
          <w:lang w:eastAsia="en-AU" w:bidi="ar-SA"/>
        </w:rPr>
        <w:t xml:space="preserve">is a suitable standard for the ELISA used to detect HPPD-4 in plant tissues (as discussed in </w:t>
      </w:r>
      <w:hyperlink w:anchor="_4.2.2_Expression_of" w:history="1">
        <w:r w:rsidR="00FA3AD6" w:rsidRPr="0041039A">
          <w:rPr>
            <w:rStyle w:val="Hyperlink"/>
            <w:lang w:eastAsia="en-AU" w:bidi="ar-SA"/>
          </w:rPr>
          <w:t>Section 4.2.2</w:t>
        </w:r>
      </w:hyperlink>
      <w:r w:rsidR="00FA3AD6">
        <w:rPr>
          <w:lang w:eastAsia="en-AU" w:bidi="ar-SA"/>
        </w:rPr>
        <w:t xml:space="preserve">) and is a suitable surrogate for use in the safety assessment experiments described in </w:t>
      </w:r>
      <w:hyperlink w:anchor="_Structural_stability_after_1" w:history="1">
        <w:r w:rsidR="00FA3AD6" w:rsidRPr="0041039A">
          <w:rPr>
            <w:rStyle w:val="Hyperlink"/>
            <w:lang w:eastAsia="en-AU" w:bidi="ar-SA"/>
          </w:rPr>
          <w:t>Section 4.2.3</w:t>
        </w:r>
      </w:hyperlink>
      <w:r w:rsidR="00FA3AD6">
        <w:rPr>
          <w:lang w:eastAsia="en-AU" w:bidi="ar-SA"/>
        </w:rPr>
        <w:t>.</w:t>
      </w:r>
    </w:p>
    <w:p w14:paraId="006D5A9B" w14:textId="16279C43" w:rsidR="000C16A9" w:rsidRDefault="000C16A9" w:rsidP="00221257">
      <w:pPr>
        <w:pStyle w:val="Heading3"/>
      </w:pPr>
      <w:bookmarkStart w:id="184" w:name="_4.2.2_Expression_of"/>
      <w:bookmarkStart w:id="185" w:name="_Toc489531041"/>
      <w:bookmarkStart w:id="186" w:name="_Toc491439842"/>
      <w:bookmarkStart w:id="187" w:name="_Toc493515872"/>
      <w:bookmarkStart w:id="188" w:name="_Toc495489341"/>
      <w:bookmarkStart w:id="189" w:name="_Toc496169794"/>
      <w:bookmarkStart w:id="190" w:name="_Toc34824991"/>
      <w:bookmarkEnd w:id="184"/>
      <w:r>
        <w:t>4</w:t>
      </w:r>
      <w:r w:rsidRPr="00A83318">
        <w:t>.2.</w:t>
      </w:r>
      <w:r w:rsidR="00A83318" w:rsidRPr="00A83318">
        <w:t>2</w:t>
      </w:r>
      <w:r w:rsidRPr="00A83318">
        <w:tab/>
      </w:r>
      <w:bookmarkEnd w:id="185"/>
      <w:bookmarkEnd w:id="186"/>
      <w:bookmarkEnd w:id="187"/>
      <w:bookmarkEnd w:id="188"/>
      <w:bookmarkEnd w:id="189"/>
      <w:r w:rsidR="00A83318" w:rsidRPr="00A83318">
        <w:t>Expression</w:t>
      </w:r>
      <w:r w:rsidR="00A83318" w:rsidRPr="00262CF4">
        <w:t xml:space="preserve"> of </w:t>
      </w:r>
      <w:r w:rsidR="00A83318">
        <w:t>the HPPD-4</w:t>
      </w:r>
      <w:r w:rsidR="00A83318" w:rsidRPr="00262CF4">
        <w:t xml:space="preserve"> </w:t>
      </w:r>
      <w:r w:rsidR="00A83318">
        <w:t>in GMB151 grain</w:t>
      </w:r>
      <w:bookmarkEnd w:id="190"/>
    </w:p>
    <w:p w14:paraId="54C17D0A" w14:textId="5BD7E402" w:rsidR="000E184E" w:rsidRDefault="000E184E" w:rsidP="000E184E">
      <w:pPr>
        <w:rPr>
          <w:lang w:eastAsia="en-AU" w:bidi="ar-SA"/>
        </w:rPr>
      </w:pPr>
      <w:r>
        <w:rPr>
          <w:lang w:eastAsia="en-AU" w:bidi="ar-SA"/>
        </w:rPr>
        <w:t xml:space="preserve">HPPD-4 </w:t>
      </w:r>
      <w:r w:rsidRPr="00F30806">
        <w:rPr>
          <w:lang w:eastAsia="en-AU" w:bidi="ar-SA"/>
        </w:rPr>
        <w:t xml:space="preserve">expression </w:t>
      </w:r>
      <w:r w:rsidR="00443782">
        <w:rPr>
          <w:lang w:eastAsia="en-AU" w:bidi="ar-SA"/>
        </w:rPr>
        <w:t>was also examined in the same</w:t>
      </w:r>
      <w:r>
        <w:rPr>
          <w:lang w:eastAsia="en-AU" w:bidi="ar-SA"/>
        </w:rPr>
        <w:t xml:space="preserve"> processed components of soybean </w:t>
      </w:r>
      <w:r w:rsidR="00443782">
        <w:rPr>
          <w:lang w:eastAsia="en-AU" w:bidi="ar-SA"/>
        </w:rPr>
        <w:t>analysed for Cry14Ab1 (</w:t>
      </w:r>
      <w:hyperlink w:anchor="_4.1.2_Expression_of" w:history="1">
        <w:r w:rsidR="00443782" w:rsidRPr="004969FF">
          <w:rPr>
            <w:rStyle w:val="Hyperlink"/>
            <w:lang w:eastAsia="en-AU" w:bidi="ar-SA"/>
          </w:rPr>
          <w:t>Section 4.</w:t>
        </w:r>
        <w:r w:rsidR="004969FF" w:rsidRPr="004969FF">
          <w:rPr>
            <w:rStyle w:val="Hyperlink"/>
            <w:lang w:eastAsia="en-AU" w:bidi="ar-SA"/>
          </w:rPr>
          <w:t>1</w:t>
        </w:r>
        <w:r w:rsidR="00443782" w:rsidRPr="004969FF">
          <w:rPr>
            <w:rStyle w:val="Hyperlink"/>
            <w:lang w:eastAsia="en-AU" w:bidi="ar-SA"/>
          </w:rPr>
          <w:t>.</w:t>
        </w:r>
        <w:r w:rsidR="004969FF">
          <w:rPr>
            <w:rStyle w:val="Hyperlink"/>
            <w:lang w:eastAsia="en-AU" w:bidi="ar-SA"/>
          </w:rPr>
          <w:t>2</w:t>
        </w:r>
      </w:hyperlink>
      <w:r w:rsidR="00443782">
        <w:rPr>
          <w:lang w:eastAsia="en-AU" w:bidi="ar-SA"/>
        </w:rPr>
        <w:t xml:space="preserve">) </w:t>
      </w:r>
      <w:r>
        <w:rPr>
          <w:lang w:eastAsia="en-AU" w:bidi="ar-SA"/>
        </w:rPr>
        <w:t>using a commercially available</w:t>
      </w:r>
      <w:r w:rsidRPr="00F30806">
        <w:rPr>
          <w:lang w:eastAsia="en-AU" w:bidi="ar-SA"/>
        </w:rPr>
        <w:t xml:space="preserve"> </w:t>
      </w:r>
      <w:r w:rsidR="000C16A9">
        <w:rPr>
          <w:lang w:eastAsia="en-AU" w:bidi="ar-SA"/>
        </w:rPr>
        <w:t>ELISA</w:t>
      </w:r>
      <w:r w:rsidR="00443782">
        <w:rPr>
          <w:lang w:eastAsia="en-AU" w:bidi="ar-SA"/>
        </w:rPr>
        <w:t xml:space="preserve">. </w:t>
      </w:r>
      <w:r w:rsidR="00776AF4">
        <w:rPr>
          <w:lang w:eastAsia="en-AU" w:bidi="ar-SA"/>
        </w:rPr>
        <w:t>The</w:t>
      </w:r>
      <w:r w:rsidRPr="00F30806">
        <w:rPr>
          <w:lang w:eastAsia="en-AU" w:bidi="ar-SA"/>
        </w:rPr>
        <w:t xml:space="preserve"> standard curve was generat</w:t>
      </w:r>
      <w:r>
        <w:rPr>
          <w:lang w:eastAsia="en-AU" w:bidi="ar-SA"/>
        </w:rPr>
        <w:t>ed using microbially expressed HPPD-4</w:t>
      </w:r>
      <w:r w:rsidRPr="00F30806">
        <w:rPr>
          <w:lang w:eastAsia="en-AU" w:bidi="ar-SA"/>
        </w:rPr>
        <w:t>, of which the ch</w:t>
      </w:r>
      <w:r>
        <w:rPr>
          <w:lang w:eastAsia="en-AU" w:bidi="ar-SA"/>
        </w:rPr>
        <w:t xml:space="preserve">aracterisation is described in </w:t>
      </w:r>
      <w:hyperlink w:anchor="_4.2.1_Characterisation_of" w:history="1">
        <w:r w:rsidRPr="00DC12DE">
          <w:rPr>
            <w:rStyle w:val="Hyperlink"/>
            <w:lang w:eastAsia="en-AU" w:bidi="ar-SA"/>
          </w:rPr>
          <w:t>Section 4.2.1</w:t>
        </w:r>
      </w:hyperlink>
      <w:r>
        <w:rPr>
          <w:lang w:eastAsia="en-AU" w:bidi="ar-SA"/>
        </w:rPr>
        <w:t>.</w:t>
      </w:r>
      <w:r w:rsidR="00776AF4">
        <w:rPr>
          <w:lang w:eastAsia="en-AU" w:bidi="ar-SA"/>
        </w:rPr>
        <w:t xml:space="preserve"> Background controls included no protein vehicle controls and protein isolated from the equivalent processed fractions from Thorne.</w:t>
      </w:r>
    </w:p>
    <w:p w14:paraId="1DE6BA75" w14:textId="77777777" w:rsidR="000E184E" w:rsidRDefault="000E184E" w:rsidP="000E184E">
      <w:pPr>
        <w:rPr>
          <w:lang w:eastAsia="en-AU" w:bidi="ar-SA"/>
        </w:rPr>
      </w:pPr>
    </w:p>
    <w:p w14:paraId="378BDB78" w14:textId="095C9426" w:rsidR="000E184E" w:rsidRPr="00D03B70" w:rsidRDefault="000E184E" w:rsidP="000E184E">
      <w:pPr>
        <w:rPr>
          <w:highlight w:val="yellow"/>
          <w:lang w:eastAsia="en-AU" w:bidi="ar-SA"/>
        </w:rPr>
      </w:pPr>
      <w:r>
        <w:rPr>
          <w:lang w:eastAsia="en-AU" w:bidi="ar-SA"/>
        </w:rPr>
        <w:t xml:space="preserve">The data from the ELISA shows that </w:t>
      </w:r>
      <w:r w:rsidR="00776AF4">
        <w:rPr>
          <w:lang w:eastAsia="en-AU" w:bidi="ar-SA"/>
        </w:rPr>
        <w:t>HPPD-4</w:t>
      </w:r>
      <w:r>
        <w:rPr>
          <w:lang w:eastAsia="en-AU" w:bidi="ar-SA"/>
        </w:rPr>
        <w:t xml:space="preserve"> is detectable in the whole seed</w:t>
      </w:r>
      <w:r w:rsidR="00776AF4">
        <w:rPr>
          <w:lang w:eastAsia="en-AU" w:bidi="ar-SA"/>
        </w:rPr>
        <w:t>,</w:t>
      </w:r>
      <w:r>
        <w:rPr>
          <w:lang w:eastAsia="en-AU" w:bidi="ar-SA"/>
        </w:rPr>
        <w:t xml:space="preserve"> seed hulls</w:t>
      </w:r>
      <w:r w:rsidR="00776AF4">
        <w:rPr>
          <w:lang w:eastAsia="en-AU" w:bidi="ar-SA"/>
        </w:rPr>
        <w:t xml:space="preserve"> and protein isolate in</w:t>
      </w:r>
      <w:r>
        <w:rPr>
          <w:lang w:eastAsia="en-AU" w:bidi="ar-SA"/>
        </w:rPr>
        <w:t xml:space="preserve"> both untreated and herbicide-treated GMB151 (</w:t>
      </w:r>
      <w:hyperlink w:anchor="Table8" w:history="1">
        <w:r w:rsidRPr="0041039A">
          <w:rPr>
            <w:rStyle w:val="Hyperlink"/>
            <w:lang w:eastAsia="en-AU" w:bidi="ar-SA"/>
          </w:rPr>
          <w:t xml:space="preserve">Table </w:t>
        </w:r>
        <w:r w:rsidR="00A04498" w:rsidRPr="0041039A">
          <w:rPr>
            <w:rStyle w:val="Hyperlink"/>
            <w:lang w:eastAsia="en-AU" w:bidi="ar-SA"/>
          </w:rPr>
          <w:t>8</w:t>
        </w:r>
      </w:hyperlink>
      <w:r>
        <w:rPr>
          <w:lang w:eastAsia="en-AU" w:bidi="ar-SA"/>
        </w:rPr>
        <w:t xml:space="preserve">). No </w:t>
      </w:r>
      <w:r w:rsidR="00776AF4">
        <w:rPr>
          <w:lang w:eastAsia="en-AU" w:bidi="ar-SA"/>
        </w:rPr>
        <w:t>HPPD-4</w:t>
      </w:r>
      <w:r>
        <w:rPr>
          <w:lang w:eastAsia="en-AU" w:bidi="ar-SA"/>
        </w:rPr>
        <w:t xml:space="preserve"> was detected in the more highly p</w:t>
      </w:r>
      <w:r w:rsidR="00776AF4">
        <w:rPr>
          <w:lang w:eastAsia="en-AU" w:bidi="ar-SA"/>
        </w:rPr>
        <w:t>rocessed products: toasted meal and</w:t>
      </w:r>
      <w:r>
        <w:rPr>
          <w:lang w:eastAsia="en-AU" w:bidi="ar-SA"/>
        </w:rPr>
        <w:t xml:space="preserve"> refined oil.</w:t>
      </w:r>
    </w:p>
    <w:p w14:paraId="0B6F5095" w14:textId="77777777" w:rsidR="000E184E" w:rsidRDefault="000E184E" w:rsidP="000E184E">
      <w:pPr>
        <w:pStyle w:val="FSTableTitle"/>
        <w:spacing w:after="120"/>
        <w:rPr>
          <w:lang w:eastAsia="en-AU" w:bidi="ar-SA"/>
        </w:rPr>
      </w:pPr>
    </w:p>
    <w:p w14:paraId="48730A44" w14:textId="01562245" w:rsidR="000E184E" w:rsidRDefault="000E184E" w:rsidP="000E184E">
      <w:pPr>
        <w:pStyle w:val="FSTableTitle"/>
        <w:spacing w:after="120"/>
        <w:ind w:left="426"/>
        <w:rPr>
          <w:lang w:eastAsia="en-AU" w:bidi="ar-SA"/>
        </w:rPr>
      </w:pPr>
      <w:bookmarkStart w:id="191" w:name="Table8"/>
      <w:r>
        <w:rPr>
          <w:lang w:eastAsia="en-AU" w:bidi="ar-SA"/>
        </w:rPr>
        <w:t xml:space="preserve">Table </w:t>
      </w:r>
      <w:r w:rsidR="00A04498">
        <w:rPr>
          <w:lang w:eastAsia="en-AU" w:bidi="ar-SA"/>
        </w:rPr>
        <w:t>8</w:t>
      </w:r>
      <w:bookmarkEnd w:id="191"/>
      <w:r>
        <w:rPr>
          <w:lang w:eastAsia="en-AU" w:bidi="ar-SA"/>
        </w:rPr>
        <w:t>: Mean expression levels of HPPD-4 in GMB151 grain components</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8"/>
        <w:tblDescription w:val="Mean expression levels of HPPD-4 in GMB151 grain components"/>
      </w:tblPr>
      <w:tblGrid>
        <w:gridCol w:w="1706"/>
        <w:gridCol w:w="1037"/>
        <w:gridCol w:w="1267"/>
        <w:gridCol w:w="1268"/>
      </w:tblGrid>
      <w:tr w:rsidR="000E184E" w14:paraId="06A60554" w14:textId="77777777" w:rsidTr="00226243">
        <w:trPr>
          <w:trHeight w:val="567"/>
        </w:trPr>
        <w:tc>
          <w:tcPr>
            <w:tcW w:w="1706" w:type="dxa"/>
            <w:shd w:val="clear" w:color="auto" w:fill="7F7F7F" w:themeFill="text1" w:themeFillTint="80"/>
            <w:vAlign w:val="center"/>
          </w:tcPr>
          <w:p w14:paraId="005DBE01" w14:textId="77777777" w:rsidR="000E184E" w:rsidRPr="004521F1" w:rsidRDefault="000E184E" w:rsidP="00895E4F">
            <w:pPr>
              <w:jc w:val="center"/>
              <w:rPr>
                <w:b/>
                <w:iCs/>
                <w:color w:val="FFFFFF" w:themeColor="background1"/>
              </w:rPr>
            </w:pPr>
            <w:r w:rsidRPr="004521F1">
              <w:rPr>
                <w:b/>
                <w:iCs/>
                <w:color w:val="FFFFFF" w:themeColor="background1"/>
                <w:sz w:val="20"/>
              </w:rPr>
              <w:t>Matrix</w:t>
            </w:r>
          </w:p>
        </w:tc>
        <w:tc>
          <w:tcPr>
            <w:tcW w:w="1037" w:type="dxa"/>
            <w:shd w:val="clear" w:color="auto" w:fill="7F7F7F" w:themeFill="text1" w:themeFillTint="80"/>
            <w:vAlign w:val="center"/>
          </w:tcPr>
          <w:p w14:paraId="274EE409" w14:textId="77777777" w:rsidR="000E184E" w:rsidRPr="004521F1" w:rsidRDefault="000E184E" w:rsidP="00895E4F">
            <w:pPr>
              <w:spacing w:before="20" w:after="20"/>
              <w:jc w:val="center"/>
              <w:rPr>
                <w:b/>
                <w:iCs/>
                <w:color w:val="FFFFFF" w:themeColor="background1"/>
                <w:sz w:val="18"/>
                <w:szCs w:val="18"/>
              </w:rPr>
            </w:pPr>
            <w:r w:rsidRPr="004521F1">
              <w:rPr>
                <w:b/>
                <w:iCs/>
                <w:color w:val="FFFFFF" w:themeColor="background1"/>
                <w:sz w:val="18"/>
                <w:szCs w:val="18"/>
              </w:rPr>
              <w:t>Herbicide treated</w:t>
            </w:r>
          </w:p>
        </w:tc>
        <w:tc>
          <w:tcPr>
            <w:tcW w:w="1267" w:type="dxa"/>
            <w:shd w:val="clear" w:color="auto" w:fill="7F7F7F" w:themeFill="text1" w:themeFillTint="80"/>
            <w:vAlign w:val="center"/>
          </w:tcPr>
          <w:p w14:paraId="188F058A" w14:textId="71AB5FD1" w:rsidR="000E184E" w:rsidRPr="004521F1" w:rsidRDefault="00776AF4" w:rsidP="00895E4F">
            <w:pPr>
              <w:spacing w:before="20" w:after="20"/>
              <w:jc w:val="center"/>
              <w:rPr>
                <w:b/>
                <w:iCs/>
                <w:color w:val="FFFFFF" w:themeColor="background1"/>
                <w:sz w:val="18"/>
                <w:szCs w:val="18"/>
              </w:rPr>
            </w:pPr>
            <w:r>
              <w:rPr>
                <w:b/>
                <w:iCs/>
                <w:color w:val="FFFFFF" w:themeColor="background1"/>
                <w:sz w:val="18"/>
                <w:szCs w:val="18"/>
              </w:rPr>
              <w:t>HPPD-4</w:t>
            </w:r>
            <w:r w:rsidR="000E184E" w:rsidRPr="004521F1">
              <w:rPr>
                <w:b/>
                <w:iCs/>
                <w:color w:val="FFFFFF" w:themeColor="background1"/>
                <w:sz w:val="18"/>
                <w:szCs w:val="18"/>
              </w:rPr>
              <w:t xml:space="preserve"> (</w:t>
            </w:r>
            <w:r w:rsidR="000E184E" w:rsidRPr="004521F1">
              <w:rPr>
                <w:rFonts w:cs="Arial"/>
                <w:b/>
                <w:iCs/>
                <w:color w:val="FFFFFF" w:themeColor="background1"/>
                <w:sz w:val="18"/>
                <w:szCs w:val="18"/>
              </w:rPr>
              <w:t>µ</w:t>
            </w:r>
            <w:r w:rsidR="000E184E">
              <w:rPr>
                <w:rFonts w:cs="Arial"/>
                <w:b/>
                <w:iCs/>
                <w:color w:val="FFFFFF" w:themeColor="background1"/>
                <w:sz w:val="18"/>
                <w:szCs w:val="18"/>
              </w:rPr>
              <w:t>g</w:t>
            </w:r>
            <w:r w:rsidR="000E184E" w:rsidRPr="004521F1">
              <w:rPr>
                <w:b/>
                <w:iCs/>
                <w:color w:val="FFFFFF" w:themeColor="background1"/>
                <w:sz w:val="18"/>
                <w:szCs w:val="18"/>
              </w:rPr>
              <w:t>/g FW)</w:t>
            </w:r>
            <w:r w:rsidR="000E184E" w:rsidRPr="004521F1">
              <w:rPr>
                <w:b/>
                <w:iCs/>
                <w:color w:val="FFFFFF" w:themeColor="background1"/>
                <w:sz w:val="18"/>
                <w:szCs w:val="18"/>
                <w:vertAlign w:val="superscript"/>
              </w:rPr>
              <w:t>1</w:t>
            </w:r>
          </w:p>
        </w:tc>
        <w:tc>
          <w:tcPr>
            <w:tcW w:w="1268" w:type="dxa"/>
            <w:shd w:val="clear" w:color="auto" w:fill="7F7F7F" w:themeFill="text1" w:themeFillTint="80"/>
            <w:vAlign w:val="center"/>
          </w:tcPr>
          <w:p w14:paraId="41D43FF2" w14:textId="30BC40CC" w:rsidR="000E184E" w:rsidRPr="004521F1" w:rsidRDefault="00776AF4" w:rsidP="00895E4F">
            <w:pPr>
              <w:spacing w:before="20" w:after="20"/>
              <w:jc w:val="center"/>
              <w:rPr>
                <w:rFonts w:cs="Arial"/>
                <w:iCs/>
                <w:color w:val="FFFFFF" w:themeColor="background1"/>
                <w:sz w:val="28"/>
                <w:szCs w:val="18"/>
              </w:rPr>
            </w:pPr>
            <w:r>
              <w:rPr>
                <w:b/>
                <w:iCs/>
                <w:color w:val="FFFFFF" w:themeColor="background1"/>
                <w:sz w:val="18"/>
                <w:szCs w:val="18"/>
              </w:rPr>
              <w:t>HPPD-4</w:t>
            </w:r>
            <w:r w:rsidR="000E184E" w:rsidRPr="004521F1">
              <w:rPr>
                <w:b/>
                <w:iCs/>
                <w:color w:val="FFFFFF" w:themeColor="background1"/>
                <w:sz w:val="18"/>
                <w:szCs w:val="18"/>
              </w:rPr>
              <w:t xml:space="preserve"> (</w:t>
            </w:r>
            <w:r w:rsidR="000E184E" w:rsidRPr="004521F1">
              <w:rPr>
                <w:rFonts w:cs="Arial"/>
                <w:b/>
                <w:iCs/>
                <w:color w:val="FFFFFF" w:themeColor="background1"/>
                <w:sz w:val="18"/>
                <w:szCs w:val="18"/>
              </w:rPr>
              <w:t>µ</w:t>
            </w:r>
            <w:r w:rsidR="000E184E">
              <w:rPr>
                <w:rFonts w:cs="Arial"/>
                <w:b/>
                <w:iCs/>
                <w:color w:val="FFFFFF" w:themeColor="background1"/>
                <w:sz w:val="18"/>
                <w:szCs w:val="18"/>
              </w:rPr>
              <w:t>g</w:t>
            </w:r>
            <w:r w:rsidR="000E184E" w:rsidRPr="004521F1">
              <w:rPr>
                <w:b/>
                <w:iCs/>
                <w:color w:val="FFFFFF" w:themeColor="background1"/>
                <w:sz w:val="18"/>
                <w:szCs w:val="18"/>
              </w:rPr>
              <w:t>/g DW)</w:t>
            </w:r>
            <w:r w:rsidR="000E184E" w:rsidRPr="004521F1">
              <w:rPr>
                <w:b/>
                <w:iCs/>
                <w:color w:val="FFFFFF" w:themeColor="background1"/>
                <w:sz w:val="18"/>
                <w:szCs w:val="18"/>
                <w:vertAlign w:val="superscript"/>
              </w:rPr>
              <w:t>2</w:t>
            </w:r>
          </w:p>
        </w:tc>
      </w:tr>
      <w:tr w:rsidR="000E184E" w14:paraId="322454F9" w14:textId="77777777" w:rsidTr="00895E4F">
        <w:trPr>
          <w:trHeight w:val="340"/>
        </w:trPr>
        <w:tc>
          <w:tcPr>
            <w:tcW w:w="1706" w:type="dxa"/>
            <w:vMerge w:val="restart"/>
            <w:vAlign w:val="center"/>
          </w:tcPr>
          <w:p w14:paraId="2A2715E6" w14:textId="77777777" w:rsidR="000E184E" w:rsidRPr="004521F1" w:rsidRDefault="000E184E" w:rsidP="00226243">
            <w:pPr>
              <w:jc w:val="center"/>
              <w:rPr>
                <w:b/>
                <w:iCs/>
                <w:sz w:val="18"/>
              </w:rPr>
            </w:pPr>
            <w:r w:rsidRPr="004521F1">
              <w:rPr>
                <w:b/>
                <w:iCs/>
                <w:sz w:val="18"/>
              </w:rPr>
              <w:t>Grain</w:t>
            </w:r>
          </w:p>
        </w:tc>
        <w:tc>
          <w:tcPr>
            <w:tcW w:w="1037" w:type="dxa"/>
            <w:vAlign w:val="center"/>
          </w:tcPr>
          <w:p w14:paraId="387FDCBD" w14:textId="77777777" w:rsidR="000E184E" w:rsidRDefault="000E184E" w:rsidP="00226243">
            <w:pPr>
              <w:jc w:val="center"/>
              <w:rPr>
                <w:rFonts w:cs="Arial"/>
                <w:iCs/>
                <w:sz w:val="18"/>
                <w:szCs w:val="18"/>
              </w:rPr>
            </w:pPr>
            <w:r w:rsidRPr="004521F1">
              <w:rPr>
                <w:rFonts w:cs="Arial"/>
                <w:iCs/>
                <w:sz w:val="28"/>
                <w:szCs w:val="18"/>
              </w:rPr>
              <w:t>-</w:t>
            </w:r>
          </w:p>
        </w:tc>
        <w:tc>
          <w:tcPr>
            <w:tcW w:w="1267" w:type="dxa"/>
            <w:vAlign w:val="center"/>
          </w:tcPr>
          <w:p w14:paraId="1C4423BE" w14:textId="5F95031A" w:rsidR="000E184E" w:rsidRPr="004521F1" w:rsidRDefault="00776AF4" w:rsidP="00226243">
            <w:pPr>
              <w:jc w:val="center"/>
              <w:rPr>
                <w:rFonts w:cs="Arial"/>
                <w:iCs/>
                <w:sz w:val="18"/>
                <w:szCs w:val="18"/>
              </w:rPr>
            </w:pPr>
            <w:r>
              <w:rPr>
                <w:rFonts w:cs="Arial"/>
                <w:iCs/>
                <w:sz w:val="18"/>
                <w:szCs w:val="18"/>
              </w:rPr>
              <w:t>3.34</w:t>
            </w:r>
          </w:p>
        </w:tc>
        <w:tc>
          <w:tcPr>
            <w:tcW w:w="1268" w:type="dxa"/>
            <w:vAlign w:val="center"/>
          </w:tcPr>
          <w:p w14:paraId="7D1BE4C5" w14:textId="1F3F036D" w:rsidR="000E184E" w:rsidRPr="004521F1" w:rsidRDefault="00776AF4" w:rsidP="00226243">
            <w:pPr>
              <w:jc w:val="center"/>
              <w:rPr>
                <w:rFonts w:cs="Arial"/>
                <w:iCs/>
                <w:sz w:val="18"/>
                <w:szCs w:val="18"/>
              </w:rPr>
            </w:pPr>
            <w:r>
              <w:rPr>
                <w:rFonts w:cs="Arial"/>
                <w:iCs/>
                <w:sz w:val="18"/>
                <w:szCs w:val="18"/>
              </w:rPr>
              <w:t>3.79</w:t>
            </w:r>
          </w:p>
        </w:tc>
      </w:tr>
      <w:tr w:rsidR="000E184E" w14:paraId="70E5D9BD" w14:textId="77777777" w:rsidTr="00895E4F">
        <w:trPr>
          <w:trHeight w:val="340"/>
        </w:trPr>
        <w:tc>
          <w:tcPr>
            <w:tcW w:w="1706" w:type="dxa"/>
            <w:vMerge/>
            <w:vAlign w:val="center"/>
          </w:tcPr>
          <w:p w14:paraId="36DCB497" w14:textId="77777777" w:rsidR="000E184E" w:rsidRPr="004521F1" w:rsidRDefault="000E184E" w:rsidP="00226243">
            <w:pPr>
              <w:jc w:val="center"/>
              <w:rPr>
                <w:b/>
                <w:iCs/>
                <w:sz w:val="18"/>
              </w:rPr>
            </w:pPr>
          </w:p>
        </w:tc>
        <w:tc>
          <w:tcPr>
            <w:tcW w:w="1037" w:type="dxa"/>
            <w:vAlign w:val="center"/>
          </w:tcPr>
          <w:p w14:paraId="4C08E06B" w14:textId="77777777" w:rsidR="000E184E" w:rsidRDefault="000E184E" w:rsidP="00226243">
            <w:pPr>
              <w:jc w:val="center"/>
              <w:rPr>
                <w:rFonts w:cs="Arial"/>
                <w:iCs/>
                <w:sz w:val="18"/>
                <w:szCs w:val="18"/>
              </w:rPr>
            </w:pPr>
            <w:r w:rsidRPr="004521F1">
              <w:rPr>
                <w:rFonts w:cs="Arial"/>
                <w:iCs/>
                <w:sz w:val="28"/>
                <w:szCs w:val="18"/>
              </w:rPr>
              <w:t>+</w:t>
            </w:r>
          </w:p>
        </w:tc>
        <w:tc>
          <w:tcPr>
            <w:tcW w:w="1267" w:type="dxa"/>
            <w:vAlign w:val="center"/>
          </w:tcPr>
          <w:p w14:paraId="0B96415D" w14:textId="6B4E4F9F" w:rsidR="000E184E" w:rsidRPr="004521F1" w:rsidRDefault="00776AF4" w:rsidP="00226243">
            <w:pPr>
              <w:jc w:val="center"/>
              <w:rPr>
                <w:rFonts w:cs="Arial"/>
                <w:iCs/>
                <w:sz w:val="18"/>
                <w:szCs w:val="18"/>
              </w:rPr>
            </w:pPr>
            <w:r>
              <w:rPr>
                <w:rFonts w:cs="Arial"/>
                <w:iCs/>
                <w:sz w:val="18"/>
                <w:szCs w:val="18"/>
              </w:rPr>
              <w:t>4.91</w:t>
            </w:r>
          </w:p>
        </w:tc>
        <w:tc>
          <w:tcPr>
            <w:tcW w:w="1268" w:type="dxa"/>
            <w:vAlign w:val="center"/>
          </w:tcPr>
          <w:p w14:paraId="1E56541F" w14:textId="4BB12265" w:rsidR="000E184E" w:rsidRPr="004521F1" w:rsidRDefault="00776AF4" w:rsidP="00226243">
            <w:pPr>
              <w:jc w:val="center"/>
              <w:rPr>
                <w:rFonts w:cs="Arial"/>
                <w:iCs/>
                <w:sz w:val="18"/>
                <w:szCs w:val="18"/>
              </w:rPr>
            </w:pPr>
            <w:r>
              <w:rPr>
                <w:rFonts w:cs="Arial"/>
                <w:iCs/>
                <w:sz w:val="18"/>
                <w:szCs w:val="18"/>
              </w:rPr>
              <w:t>5.57</w:t>
            </w:r>
          </w:p>
        </w:tc>
      </w:tr>
      <w:tr w:rsidR="000E184E" w14:paraId="6C58481F" w14:textId="77777777" w:rsidTr="00895E4F">
        <w:trPr>
          <w:trHeight w:val="340"/>
        </w:trPr>
        <w:tc>
          <w:tcPr>
            <w:tcW w:w="1706" w:type="dxa"/>
            <w:vMerge w:val="restart"/>
            <w:shd w:val="clear" w:color="auto" w:fill="D9D9D9" w:themeFill="background1" w:themeFillShade="D9"/>
            <w:vAlign w:val="center"/>
          </w:tcPr>
          <w:p w14:paraId="3CDF1581" w14:textId="77777777" w:rsidR="000E184E" w:rsidRPr="004521F1" w:rsidRDefault="000E184E" w:rsidP="00226243">
            <w:pPr>
              <w:jc w:val="center"/>
              <w:rPr>
                <w:b/>
                <w:iCs/>
                <w:sz w:val="18"/>
              </w:rPr>
            </w:pPr>
            <w:r w:rsidRPr="004521F1">
              <w:rPr>
                <w:b/>
                <w:iCs/>
                <w:sz w:val="18"/>
              </w:rPr>
              <w:t>Toasted meal</w:t>
            </w:r>
          </w:p>
        </w:tc>
        <w:tc>
          <w:tcPr>
            <w:tcW w:w="1037" w:type="dxa"/>
            <w:shd w:val="clear" w:color="auto" w:fill="D9D9D9" w:themeFill="background1" w:themeFillShade="D9"/>
            <w:vAlign w:val="center"/>
          </w:tcPr>
          <w:p w14:paraId="5548DACA" w14:textId="77777777" w:rsidR="000E184E" w:rsidRDefault="000E184E" w:rsidP="00226243">
            <w:pPr>
              <w:jc w:val="center"/>
              <w:rPr>
                <w:rFonts w:cs="Arial"/>
                <w:iCs/>
                <w:sz w:val="18"/>
                <w:szCs w:val="18"/>
              </w:rPr>
            </w:pPr>
            <w:r w:rsidRPr="004521F1">
              <w:rPr>
                <w:rFonts w:cs="Arial"/>
                <w:iCs/>
                <w:sz w:val="28"/>
                <w:szCs w:val="18"/>
              </w:rPr>
              <w:t>-</w:t>
            </w:r>
          </w:p>
        </w:tc>
        <w:tc>
          <w:tcPr>
            <w:tcW w:w="1267" w:type="dxa"/>
            <w:shd w:val="clear" w:color="auto" w:fill="D9D9D9" w:themeFill="background1" w:themeFillShade="D9"/>
            <w:vAlign w:val="center"/>
          </w:tcPr>
          <w:p w14:paraId="66FE6AEC" w14:textId="77777777" w:rsidR="000E184E" w:rsidRPr="004521F1" w:rsidRDefault="000E184E" w:rsidP="00226243">
            <w:pPr>
              <w:jc w:val="center"/>
              <w:rPr>
                <w:rFonts w:cs="Arial"/>
                <w:iCs/>
                <w:sz w:val="18"/>
                <w:szCs w:val="18"/>
              </w:rPr>
            </w:pPr>
            <w:r>
              <w:rPr>
                <w:rFonts w:cs="Arial"/>
                <w:iCs/>
                <w:sz w:val="18"/>
                <w:szCs w:val="18"/>
              </w:rPr>
              <w:t>&lt; LOD</w:t>
            </w:r>
            <w:r w:rsidRPr="004521F1">
              <w:rPr>
                <w:rFonts w:cs="Arial"/>
                <w:iCs/>
                <w:sz w:val="18"/>
                <w:szCs w:val="18"/>
                <w:vertAlign w:val="superscript"/>
              </w:rPr>
              <w:t>3</w:t>
            </w:r>
          </w:p>
        </w:tc>
        <w:tc>
          <w:tcPr>
            <w:tcW w:w="1268" w:type="dxa"/>
            <w:shd w:val="clear" w:color="auto" w:fill="D9D9D9" w:themeFill="background1" w:themeFillShade="D9"/>
            <w:vAlign w:val="center"/>
          </w:tcPr>
          <w:p w14:paraId="4958BD05" w14:textId="77777777" w:rsidR="000E184E" w:rsidRPr="004521F1" w:rsidRDefault="000E184E" w:rsidP="00226243">
            <w:pPr>
              <w:jc w:val="center"/>
              <w:rPr>
                <w:rFonts w:cs="Arial"/>
                <w:iCs/>
                <w:sz w:val="18"/>
                <w:szCs w:val="18"/>
              </w:rPr>
            </w:pPr>
            <w:r>
              <w:rPr>
                <w:rFonts w:cs="Arial"/>
                <w:iCs/>
                <w:sz w:val="18"/>
                <w:szCs w:val="18"/>
              </w:rPr>
              <w:t>&lt; LOD</w:t>
            </w:r>
          </w:p>
        </w:tc>
      </w:tr>
      <w:tr w:rsidR="000E184E" w14:paraId="1AAA6EE9" w14:textId="77777777" w:rsidTr="00895E4F">
        <w:trPr>
          <w:trHeight w:val="340"/>
        </w:trPr>
        <w:tc>
          <w:tcPr>
            <w:tcW w:w="1706" w:type="dxa"/>
            <w:vMerge/>
            <w:shd w:val="clear" w:color="auto" w:fill="D9D9D9" w:themeFill="background1" w:themeFillShade="D9"/>
            <w:vAlign w:val="center"/>
          </w:tcPr>
          <w:p w14:paraId="11D3CF44" w14:textId="77777777" w:rsidR="000E184E" w:rsidRPr="004521F1" w:rsidRDefault="000E184E" w:rsidP="00226243">
            <w:pPr>
              <w:jc w:val="center"/>
              <w:rPr>
                <w:b/>
                <w:iCs/>
                <w:sz w:val="18"/>
              </w:rPr>
            </w:pPr>
          </w:p>
        </w:tc>
        <w:tc>
          <w:tcPr>
            <w:tcW w:w="1037" w:type="dxa"/>
            <w:shd w:val="clear" w:color="auto" w:fill="D9D9D9" w:themeFill="background1" w:themeFillShade="D9"/>
            <w:vAlign w:val="center"/>
          </w:tcPr>
          <w:p w14:paraId="05C31CE1" w14:textId="77777777" w:rsidR="000E184E" w:rsidRDefault="000E184E" w:rsidP="00226243">
            <w:pPr>
              <w:jc w:val="center"/>
              <w:rPr>
                <w:rFonts w:cs="Arial"/>
                <w:iCs/>
                <w:sz w:val="18"/>
                <w:szCs w:val="18"/>
              </w:rPr>
            </w:pPr>
            <w:r w:rsidRPr="004521F1">
              <w:rPr>
                <w:rFonts w:cs="Arial"/>
                <w:iCs/>
                <w:sz w:val="28"/>
                <w:szCs w:val="18"/>
              </w:rPr>
              <w:t>+</w:t>
            </w:r>
          </w:p>
        </w:tc>
        <w:tc>
          <w:tcPr>
            <w:tcW w:w="1267" w:type="dxa"/>
            <w:shd w:val="clear" w:color="auto" w:fill="D9D9D9" w:themeFill="background1" w:themeFillShade="D9"/>
            <w:vAlign w:val="center"/>
          </w:tcPr>
          <w:p w14:paraId="2937878E" w14:textId="77777777" w:rsidR="000E184E" w:rsidRPr="004521F1" w:rsidRDefault="000E184E" w:rsidP="00226243">
            <w:pPr>
              <w:jc w:val="center"/>
              <w:rPr>
                <w:rFonts w:cs="Arial"/>
                <w:iCs/>
                <w:sz w:val="18"/>
                <w:szCs w:val="18"/>
              </w:rPr>
            </w:pPr>
            <w:r>
              <w:rPr>
                <w:rFonts w:cs="Arial"/>
                <w:iCs/>
                <w:sz w:val="18"/>
                <w:szCs w:val="18"/>
              </w:rPr>
              <w:t>&lt; LOD</w:t>
            </w:r>
          </w:p>
        </w:tc>
        <w:tc>
          <w:tcPr>
            <w:tcW w:w="1268" w:type="dxa"/>
            <w:shd w:val="clear" w:color="auto" w:fill="D9D9D9" w:themeFill="background1" w:themeFillShade="D9"/>
            <w:vAlign w:val="center"/>
          </w:tcPr>
          <w:p w14:paraId="525825AE" w14:textId="77777777" w:rsidR="000E184E" w:rsidRPr="004521F1" w:rsidRDefault="000E184E" w:rsidP="00226243">
            <w:pPr>
              <w:jc w:val="center"/>
              <w:rPr>
                <w:rFonts w:cs="Arial"/>
                <w:iCs/>
                <w:sz w:val="18"/>
                <w:szCs w:val="18"/>
              </w:rPr>
            </w:pPr>
            <w:r>
              <w:rPr>
                <w:rFonts w:cs="Arial"/>
                <w:iCs/>
                <w:sz w:val="18"/>
                <w:szCs w:val="18"/>
              </w:rPr>
              <w:t>&lt; LOD</w:t>
            </w:r>
          </w:p>
        </w:tc>
      </w:tr>
      <w:tr w:rsidR="000E184E" w14:paraId="05DD60FE" w14:textId="77777777" w:rsidTr="00895E4F">
        <w:trPr>
          <w:trHeight w:val="340"/>
        </w:trPr>
        <w:tc>
          <w:tcPr>
            <w:tcW w:w="1706" w:type="dxa"/>
            <w:vMerge w:val="restart"/>
            <w:vAlign w:val="center"/>
          </w:tcPr>
          <w:p w14:paraId="176DAD4D" w14:textId="77777777" w:rsidR="000E184E" w:rsidRPr="004521F1" w:rsidRDefault="000E184E" w:rsidP="00226243">
            <w:pPr>
              <w:jc w:val="center"/>
              <w:rPr>
                <w:b/>
                <w:iCs/>
                <w:sz w:val="18"/>
              </w:rPr>
            </w:pPr>
            <w:r>
              <w:rPr>
                <w:b/>
                <w:iCs/>
                <w:sz w:val="18"/>
              </w:rPr>
              <w:t>Refined</w:t>
            </w:r>
            <w:r w:rsidRPr="004521F1">
              <w:rPr>
                <w:b/>
                <w:iCs/>
                <w:sz w:val="18"/>
              </w:rPr>
              <w:t xml:space="preserve"> oil</w:t>
            </w:r>
          </w:p>
        </w:tc>
        <w:tc>
          <w:tcPr>
            <w:tcW w:w="1037" w:type="dxa"/>
            <w:vAlign w:val="center"/>
          </w:tcPr>
          <w:p w14:paraId="659E0F7A" w14:textId="77777777" w:rsidR="000E184E" w:rsidRDefault="000E184E" w:rsidP="00226243">
            <w:pPr>
              <w:jc w:val="center"/>
              <w:rPr>
                <w:rFonts w:cs="Arial"/>
                <w:iCs/>
                <w:sz w:val="18"/>
                <w:szCs w:val="18"/>
              </w:rPr>
            </w:pPr>
            <w:r w:rsidRPr="004521F1">
              <w:rPr>
                <w:rFonts w:cs="Arial"/>
                <w:iCs/>
                <w:sz w:val="28"/>
                <w:szCs w:val="18"/>
              </w:rPr>
              <w:t>-</w:t>
            </w:r>
          </w:p>
        </w:tc>
        <w:tc>
          <w:tcPr>
            <w:tcW w:w="1267" w:type="dxa"/>
            <w:vAlign w:val="center"/>
          </w:tcPr>
          <w:p w14:paraId="7BC4B779" w14:textId="77777777" w:rsidR="000E184E" w:rsidRPr="004521F1" w:rsidRDefault="000E184E" w:rsidP="00226243">
            <w:pPr>
              <w:jc w:val="center"/>
              <w:rPr>
                <w:rFonts w:cs="Arial"/>
                <w:iCs/>
                <w:sz w:val="18"/>
                <w:szCs w:val="18"/>
              </w:rPr>
            </w:pPr>
            <w:r>
              <w:rPr>
                <w:rFonts w:cs="Arial"/>
                <w:iCs/>
                <w:sz w:val="18"/>
                <w:szCs w:val="18"/>
              </w:rPr>
              <w:t>&lt; LOD</w:t>
            </w:r>
          </w:p>
        </w:tc>
        <w:tc>
          <w:tcPr>
            <w:tcW w:w="1268" w:type="dxa"/>
            <w:vAlign w:val="center"/>
          </w:tcPr>
          <w:p w14:paraId="44BF9C56" w14:textId="77777777" w:rsidR="000E184E" w:rsidRPr="004521F1" w:rsidRDefault="000E184E" w:rsidP="00226243">
            <w:pPr>
              <w:jc w:val="center"/>
              <w:rPr>
                <w:rFonts w:cs="Arial"/>
                <w:iCs/>
                <w:sz w:val="18"/>
                <w:szCs w:val="18"/>
              </w:rPr>
            </w:pPr>
            <w:r>
              <w:rPr>
                <w:rFonts w:cs="Arial"/>
                <w:iCs/>
                <w:sz w:val="18"/>
                <w:szCs w:val="18"/>
              </w:rPr>
              <w:t>NA</w:t>
            </w:r>
            <w:r>
              <w:rPr>
                <w:rFonts w:cs="Arial"/>
                <w:iCs/>
                <w:sz w:val="18"/>
                <w:szCs w:val="18"/>
                <w:vertAlign w:val="superscript"/>
              </w:rPr>
              <w:t>4</w:t>
            </w:r>
          </w:p>
        </w:tc>
      </w:tr>
      <w:tr w:rsidR="000E184E" w14:paraId="1AA36F8E" w14:textId="77777777" w:rsidTr="00895E4F">
        <w:trPr>
          <w:trHeight w:val="340"/>
        </w:trPr>
        <w:tc>
          <w:tcPr>
            <w:tcW w:w="1706" w:type="dxa"/>
            <w:vMerge/>
            <w:vAlign w:val="center"/>
          </w:tcPr>
          <w:p w14:paraId="18DEAA45" w14:textId="77777777" w:rsidR="000E184E" w:rsidRPr="004521F1" w:rsidRDefault="000E184E" w:rsidP="00226243">
            <w:pPr>
              <w:jc w:val="center"/>
              <w:rPr>
                <w:b/>
                <w:iCs/>
                <w:sz w:val="18"/>
              </w:rPr>
            </w:pPr>
          </w:p>
        </w:tc>
        <w:tc>
          <w:tcPr>
            <w:tcW w:w="1037" w:type="dxa"/>
            <w:vAlign w:val="center"/>
          </w:tcPr>
          <w:p w14:paraId="3136E32C" w14:textId="77777777" w:rsidR="000E184E" w:rsidRDefault="000E184E" w:rsidP="00226243">
            <w:pPr>
              <w:jc w:val="center"/>
              <w:rPr>
                <w:rFonts w:cs="Arial"/>
                <w:iCs/>
                <w:sz w:val="18"/>
                <w:szCs w:val="18"/>
              </w:rPr>
            </w:pPr>
            <w:r w:rsidRPr="004521F1">
              <w:rPr>
                <w:rFonts w:cs="Arial"/>
                <w:iCs/>
                <w:sz w:val="28"/>
                <w:szCs w:val="18"/>
              </w:rPr>
              <w:t>+</w:t>
            </w:r>
          </w:p>
        </w:tc>
        <w:tc>
          <w:tcPr>
            <w:tcW w:w="1267" w:type="dxa"/>
            <w:vAlign w:val="center"/>
          </w:tcPr>
          <w:p w14:paraId="21B5DB1D" w14:textId="77777777" w:rsidR="000E184E" w:rsidRPr="004521F1" w:rsidRDefault="000E184E" w:rsidP="00226243">
            <w:pPr>
              <w:jc w:val="center"/>
              <w:rPr>
                <w:rFonts w:cs="Arial"/>
                <w:iCs/>
                <w:sz w:val="18"/>
                <w:szCs w:val="18"/>
              </w:rPr>
            </w:pPr>
            <w:r>
              <w:rPr>
                <w:rFonts w:cs="Arial"/>
                <w:iCs/>
                <w:sz w:val="18"/>
                <w:szCs w:val="18"/>
              </w:rPr>
              <w:t>&lt; LOD</w:t>
            </w:r>
          </w:p>
        </w:tc>
        <w:tc>
          <w:tcPr>
            <w:tcW w:w="1268" w:type="dxa"/>
            <w:vAlign w:val="center"/>
          </w:tcPr>
          <w:p w14:paraId="58A3AFFD" w14:textId="77777777" w:rsidR="000E184E" w:rsidRPr="004521F1" w:rsidRDefault="000E184E" w:rsidP="00226243">
            <w:pPr>
              <w:jc w:val="center"/>
              <w:rPr>
                <w:rFonts w:cs="Arial"/>
                <w:iCs/>
                <w:sz w:val="18"/>
                <w:szCs w:val="18"/>
              </w:rPr>
            </w:pPr>
            <w:r>
              <w:rPr>
                <w:rFonts w:cs="Arial"/>
                <w:iCs/>
                <w:sz w:val="18"/>
                <w:szCs w:val="18"/>
              </w:rPr>
              <w:t>NA</w:t>
            </w:r>
          </w:p>
        </w:tc>
      </w:tr>
      <w:tr w:rsidR="000E184E" w14:paraId="4D00C6C9" w14:textId="77777777" w:rsidTr="00895E4F">
        <w:trPr>
          <w:trHeight w:val="340"/>
        </w:trPr>
        <w:tc>
          <w:tcPr>
            <w:tcW w:w="1706" w:type="dxa"/>
            <w:vMerge w:val="restart"/>
            <w:shd w:val="clear" w:color="auto" w:fill="D9D9D9" w:themeFill="background1" w:themeFillShade="D9"/>
            <w:vAlign w:val="center"/>
          </w:tcPr>
          <w:p w14:paraId="0AFB4A9E" w14:textId="77777777" w:rsidR="000E184E" w:rsidRPr="004521F1" w:rsidRDefault="000E184E" w:rsidP="00226243">
            <w:pPr>
              <w:jc w:val="center"/>
              <w:rPr>
                <w:b/>
                <w:iCs/>
                <w:sz w:val="18"/>
              </w:rPr>
            </w:pPr>
            <w:r w:rsidRPr="004521F1">
              <w:rPr>
                <w:b/>
                <w:iCs/>
                <w:sz w:val="18"/>
              </w:rPr>
              <w:t>Protein isolate</w:t>
            </w:r>
          </w:p>
        </w:tc>
        <w:tc>
          <w:tcPr>
            <w:tcW w:w="1037" w:type="dxa"/>
            <w:shd w:val="clear" w:color="auto" w:fill="D9D9D9" w:themeFill="background1" w:themeFillShade="D9"/>
            <w:vAlign w:val="center"/>
          </w:tcPr>
          <w:p w14:paraId="656A536E" w14:textId="77777777" w:rsidR="000E184E" w:rsidRDefault="000E184E" w:rsidP="00226243">
            <w:pPr>
              <w:jc w:val="center"/>
              <w:rPr>
                <w:rFonts w:cs="Arial"/>
                <w:iCs/>
                <w:sz w:val="18"/>
                <w:szCs w:val="18"/>
              </w:rPr>
            </w:pPr>
            <w:r w:rsidRPr="004521F1">
              <w:rPr>
                <w:rFonts w:cs="Arial"/>
                <w:iCs/>
                <w:sz w:val="28"/>
                <w:szCs w:val="18"/>
              </w:rPr>
              <w:t>-</w:t>
            </w:r>
          </w:p>
        </w:tc>
        <w:tc>
          <w:tcPr>
            <w:tcW w:w="1267" w:type="dxa"/>
            <w:shd w:val="clear" w:color="auto" w:fill="D9D9D9" w:themeFill="background1" w:themeFillShade="D9"/>
            <w:vAlign w:val="center"/>
          </w:tcPr>
          <w:p w14:paraId="3B0FA077" w14:textId="35082E72" w:rsidR="000E184E" w:rsidRPr="004521F1" w:rsidRDefault="00776AF4" w:rsidP="00226243">
            <w:pPr>
              <w:jc w:val="center"/>
              <w:rPr>
                <w:rFonts w:cs="Arial"/>
                <w:iCs/>
                <w:sz w:val="18"/>
                <w:szCs w:val="18"/>
              </w:rPr>
            </w:pPr>
            <w:r>
              <w:rPr>
                <w:rFonts w:cs="Arial"/>
                <w:iCs/>
                <w:sz w:val="18"/>
                <w:szCs w:val="18"/>
              </w:rPr>
              <w:t>0.78</w:t>
            </w:r>
          </w:p>
        </w:tc>
        <w:tc>
          <w:tcPr>
            <w:tcW w:w="1268" w:type="dxa"/>
            <w:shd w:val="clear" w:color="auto" w:fill="D9D9D9" w:themeFill="background1" w:themeFillShade="D9"/>
            <w:vAlign w:val="center"/>
          </w:tcPr>
          <w:p w14:paraId="618BD895" w14:textId="7F7F8BF3" w:rsidR="000E184E" w:rsidRPr="004521F1" w:rsidRDefault="00776AF4" w:rsidP="00226243">
            <w:pPr>
              <w:jc w:val="center"/>
              <w:rPr>
                <w:rFonts w:cs="Arial"/>
                <w:iCs/>
                <w:sz w:val="18"/>
                <w:szCs w:val="18"/>
              </w:rPr>
            </w:pPr>
            <w:r>
              <w:rPr>
                <w:rFonts w:cs="Arial"/>
                <w:iCs/>
                <w:sz w:val="18"/>
                <w:szCs w:val="18"/>
              </w:rPr>
              <w:t>0.80</w:t>
            </w:r>
          </w:p>
        </w:tc>
      </w:tr>
      <w:tr w:rsidR="000E184E" w14:paraId="465E349F" w14:textId="77777777" w:rsidTr="00895E4F">
        <w:trPr>
          <w:trHeight w:val="340"/>
        </w:trPr>
        <w:tc>
          <w:tcPr>
            <w:tcW w:w="1706" w:type="dxa"/>
            <w:vMerge/>
            <w:shd w:val="clear" w:color="auto" w:fill="D9D9D9" w:themeFill="background1" w:themeFillShade="D9"/>
            <w:vAlign w:val="center"/>
          </w:tcPr>
          <w:p w14:paraId="31D6F41F" w14:textId="77777777" w:rsidR="000E184E" w:rsidRPr="004521F1" w:rsidRDefault="000E184E" w:rsidP="00226243">
            <w:pPr>
              <w:jc w:val="center"/>
              <w:rPr>
                <w:b/>
                <w:iCs/>
                <w:sz w:val="18"/>
              </w:rPr>
            </w:pPr>
          </w:p>
        </w:tc>
        <w:tc>
          <w:tcPr>
            <w:tcW w:w="1037" w:type="dxa"/>
            <w:shd w:val="clear" w:color="auto" w:fill="D9D9D9" w:themeFill="background1" w:themeFillShade="D9"/>
            <w:vAlign w:val="center"/>
          </w:tcPr>
          <w:p w14:paraId="1E6020B5" w14:textId="77777777" w:rsidR="000E184E" w:rsidRDefault="000E184E" w:rsidP="00226243">
            <w:pPr>
              <w:jc w:val="center"/>
              <w:rPr>
                <w:rFonts w:cs="Arial"/>
                <w:iCs/>
                <w:sz w:val="18"/>
                <w:szCs w:val="18"/>
              </w:rPr>
            </w:pPr>
            <w:r w:rsidRPr="004521F1">
              <w:rPr>
                <w:rFonts w:cs="Arial"/>
                <w:iCs/>
                <w:sz w:val="28"/>
                <w:szCs w:val="18"/>
              </w:rPr>
              <w:t>+</w:t>
            </w:r>
          </w:p>
        </w:tc>
        <w:tc>
          <w:tcPr>
            <w:tcW w:w="1267" w:type="dxa"/>
            <w:shd w:val="clear" w:color="auto" w:fill="D9D9D9" w:themeFill="background1" w:themeFillShade="D9"/>
            <w:vAlign w:val="center"/>
          </w:tcPr>
          <w:p w14:paraId="68D37241" w14:textId="14DE317B" w:rsidR="000E184E" w:rsidRPr="004521F1" w:rsidRDefault="00776AF4" w:rsidP="00226243">
            <w:pPr>
              <w:jc w:val="center"/>
              <w:rPr>
                <w:rFonts w:cs="Arial"/>
                <w:iCs/>
                <w:sz w:val="18"/>
                <w:szCs w:val="18"/>
              </w:rPr>
            </w:pPr>
            <w:r>
              <w:rPr>
                <w:rFonts w:cs="Arial"/>
                <w:iCs/>
                <w:sz w:val="18"/>
                <w:szCs w:val="18"/>
              </w:rPr>
              <w:t>0.47</w:t>
            </w:r>
          </w:p>
        </w:tc>
        <w:tc>
          <w:tcPr>
            <w:tcW w:w="1268" w:type="dxa"/>
            <w:shd w:val="clear" w:color="auto" w:fill="D9D9D9" w:themeFill="background1" w:themeFillShade="D9"/>
            <w:vAlign w:val="center"/>
          </w:tcPr>
          <w:p w14:paraId="12D311CA" w14:textId="7C3F8505" w:rsidR="000E184E" w:rsidRPr="004521F1" w:rsidRDefault="00776AF4" w:rsidP="00226243">
            <w:pPr>
              <w:jc w:val="center"/>
              <w:rPr>
                <w:rFonts w:cs="Arial"/>
                <w:iCs/>
                <w:sz w:val="18"/>
                <w:szCs w:val="18"/>
              </w:rPr>
            </w:pPr>
            <w:r>
              <w:rPr>
                <w:rFonts w:cs="Arial"/>
                <w:iCs/>
                <w:sz w:val="18"/>
                <w:szCs w:val="18"/>
              </w:rPr>
              <w:t>0.48</w:t>
            </w:r>
          </w:p>
        </w:tc>
      </w:tr>
      <w:tr w:rsidR="000E184E" w14:paraId="748EEE1D" w14:textId="77777777" w:rsidTr="00895E4F">
        <w:trPr>
          <w:trHeight w:val="340"/>
        </w:trPr>
        <w:tc>
          <w:tcPr>
            <w:tcW w:w="1706" w:type="dxa"/>
            <w:vMerge w:val="restart"/>
            <w:shd w:val="clear" w:color="auto" w:fill="auto"/>
            <w:vAlign w:val="center"/>
          </w:tcPr>
          <w:p w14:paraId="2715811E" w14:textId="77777777" w:rsidR="000E184E" w:rsidRPr="004521F1" w:rsidRDefault="000E184E" w:rsidP="00226243">
            <w:pPr>
              <w:jc w:val="center"/>
              <w:rPr>
                <w:b/>
                <w:sz w:val="18"/>
              </w:rPr>
            </w:pPr>
            <w:r w:rsidRPr="004521F1">
              <w:rPr>
                <w:b/>
                <w:sz w:val="18"/>
              </w:rPr>
              <w:t>Hulls</w:t>
            </w:r>
          </w:p>
        </w:tc>
        <w:tc>
          <w:tcPr>
            <w:tcW w:w="1037" w:type="dxa"/>
            <w:vAlign w:val="center"/>
          </w:tcPr>
          <w:p w14:paraId="7F072F11" w14:textId="77777777" w:rsidR="000E184E" w:rsidRDefault="000E184E" w:rsidP="00226243">
            <w:pPr>
              <w:jc w:val="center"/>
              <w:rPr>
                <w:rFonts w:cs="Arial"/>
                <w:iCs/>
                <w:sz w:val="18"/>
                <w:szCs w:val="18"/>
              </w:rPr>
            </w:pPr>
            <w:r w:rsidRPr="004521F1">
              <w:rPr>
                <w:rFonts w:cs="Arial"/>
                <w:iCs/>
                <w:sz w:val="28"/>
                <w:szCs w:val="18"/>
              </w:rPr>
              <w:t>-</w:t>
            </w:r>
          </w:p>
        </w:tc>
        <w:tc>
          <w:tcPr>
            <w:tcW w:w="1267" w:type="dxa"/>
            <w:vAlign w:val="center"/>
          </w:tcPr>
          <w:p w14:paraId="51A590D7" w14:textId="1350EEA1" w:rsidR="000E184E" w:rsidRPr="004521F1" w:rsidRDefault="00776AF4" w:rsidP="00226243">
            <w:pPr>
              <w:jc w:val="center"/>
              <w:rPr>
                <w:rFonts w:cs="Arial"/>
                <w:iCs/>
                <w:sz w:val="18"/>
                <w:szCs w:val="18"/>
              </w:rPr>
            </w:pPr>
            <w:r>
              <w:rPr>
                <w:rFonts w:cs="Arial"/>
                <w:iCs/>
                <w:sz w:val="18"/>
                <w:szCs w:val="18"/>
              </w:rPr>
              <w:t>0.23</w:t>
            </w:r>
          </w:p>
        </w:tc>
        <w:tc>
          <w:tcPr>
            <w:tcW w:w="1268" w:type="dxa"/>
            <w:vAlign w:val="center"/>
          </w:tcPr>
          <w:p w14:paraId="57B27713" w14:textId="0EF4DC3A" w:rsidR="000E184E" w:rsidRPr="004521F1" w:rsidRDefault="00776AF4" w:rsidP="00226243">
            <w:pPr>
              <w:jc w:val="center"/>
              <w:rPr>
                <w:rFonts w:cs="Arial"/>
                <w:iCs/>
                <w:sz w:val="18"/>
                <w:szCs w:val="18"/>
              </w:rPr>
            </w:pPr>
            <w:r>
              <w:rPr>
                <w:rFonts w:cs="Arial"/>
                <w:iCs/>
                <w:sz w:val="18"/>
                <w:szCs w:val="18"/>
              </w:rPr>
              <w:t>0.27</w:t>
            </w:r>
          </w:p>
        </w:tc>
      </w:tr>
      <w:tr w:rsidR="000E184E" w14:paraId="7EB534A2" w14:textId="77777777" w:rsidTr="00895E4F">
        <w:trPr>
          <w:trHeight w:val="340"/>
        </w:trPr>
        <w:tc>
          <w:tcPr>
            <w:tcW w:w="1706" w:type="dxa"/>
            <w:vMerge/>
            <w:shd w:val="clear" w:color="auto" w:fill="auto"/>
            <w:vAlign w:val="center"/>
          </w:tcPr>
          <w:p w14:paraId="2A51C30D" w14:textId="77777777" w:rsidR="000E184E" w:rsidRDefault="000E184E" w:rsidP="00226243">
            <w:pPr>
              <w:jc w:val="center"/>
              <w:rPr>
                <w:b/>
                <w:sz w:val="20"/>
              </w:rPr>
            </w:pPr>
          </w:p>
        </w:tc>
        <w:tc>
          <w:tcPr>
            <w:tcW w:w="1037" w:type="dxa"/>
            <w:vAlign w:val="center"/>
          </w:tcPr>
          <w:p w14:paraId="1DB48E96" w14:textId="77777777" w:rsidR="000E184E" w:rsidRDefault="000E184E" w:rsidP="00226243">
            <w:pPr>
              <w:jc w:val="center"/>
              <w:rPr>
                <w:rFonts w:cs="Arial"/>
                <w:iCs/>
                <w:sz w:val="18"/>
                <w:szCs w:val="18"/>
              </w:rPr>
            </w:pPr>
            <w:r w:rsidRPr="004521F1">
              <w:rPr>
                <w:rFonts w:cs="Arial"/>
                <w:iCs/>
                <w:sz w:val="28"/>
                <w:szCs w:val="18"/>
              </w:rPr>
              <w:t>+</w:t>
            </w:r>
          </w:p>
        </w:tc>
        <w:tc>
          <w:tcPr>
            <w:tcW w:w="1267" w:type="dxa"/>
            <w:vAlign w:val="center"/>
          </w:tcPr>
          <w:p w14:paraId="32CEC132" w14:textId="6BF5E2A9" w:rsidR="000E184E" w:rsidRPr="004521F1" w:rsidRDefault="00776AF4" w:rsidP="00226243">
            <w:pPr>
              <w:jc w:val="center"/>
              <w:rPr>
                <w:rFonts w:cs="Arial"/>
                <w:iCs/>
                <w:sz w:val="18"/>
                <w:szCs w:val="18"/>
              </w:rPr>
            </w:pPr>
            <w:r>
              <w:rPr>
                <w:rFonts w:cs="Arial"/>
                <w:iCs/>
                <w:sz w:val="18"/>
                <w:szCs w:val="18"/>
              </w:rPr>
              <w:t>0.36</w:t>
            </w:r>
          </w:p>
        </w:tc>
        <w:tc>
          <w:tcPr>
            <w:tcW w:w="1268" w:type="dxa"/>
            <w:vAlign w:val="center"/>
          </w:tcPr>
          <w:p w14:paraId="40D6778D" w14:textId="4DA5C2A3" w:rsidR="000E184E" w:rsidRPr="004521F1" w:rsidRDefault="00776AF4" w:rsidP="00226243">
            <w:pPr>
              <w:jc w:val="center"/>
              <w:rPr>
                <w:rFonts w:cs="Arial"/>
                <w:iCs/>
                <w:sz w:val="18"/>
                <w:szCs w:val="18"/>
              </w:rPr>
            </w:pPr>
            <w:r>
              <w:rPr>
                <w:rFonts w:cs="Arial"/>
                <w:iCs/>
                <w:sz w:val="18"/>
                <w:szCs w:val="18"/>
              </w:rPr>
              <w:t>0.42</w:t>
            </w:r>
          </w:p>
        </w:tc>
      </w:tr>
    </w:tbl>
    <w:p w14:paraId="08B137F2" w14:textId="77777777" w:rsidR="000E184E" w:rsidRPr="004521F1" w:rsidRDefault="000E184E" w:rsidP="000E184E">
      <w:pPr>
        <w:spacing w:before="60"/>
        <w:ind w:left="567" w:right="3258"/>
        <w:rPr>
          <w:sz w:val="16"/>
          <w:lang w:eastAsia="en-AU" w:bidi="ar-SA"/>
        </w:rPr>
      </w:pPr>
      <w:r w:rsidRPr="004521F1">
        <w:rPr>
          <w:sz w:val="16"/>
          <w:lang w:eastAsia="en-AU" w:bidi="ar-SA"/>
        </w:rPr>
        <w:t xml:space="preserve">1. FW – fresh weight. 2. DW - dry weight. 3. </w:t>
      </w:r>
      <w:r>
        <w:rPr>
          <w:sz w:val="16"/>
          <w:lang w:eastAsia="en-AU" w:bidi="ar-SA"/>
        </w:rPr>
        <w:t xml:space="preserve">&lt; </w:t>
      </w:r>
      <w:r w:rsidRPr="004521F1">
        <w:rPr>
          <w:sz w:val="16"/>
          <w:lang w:eastAsia="en-AU" w:bidi="ar-SA"/>
        </w:rPr>
        <w:t>LOD –</w:t>
      </w:r>
      <w:r>
        <w:rPr>
          <w:sz w:val="16"/>
          <w:lang w:eastAsia="en-AU" w:bidi="ar-SA"/>
        </w:rPr>
        <w:t xml:space="preserve"> below the</w:t>
      </w:r>
      <w:r w:rsidRPr="004521F1">
        <w:rPr>
          <w:sz w:val="16"/>
          <w:lang w:eastAsia="en-AU" w:bidi="ar-SA"/>
        </w:rPr>
        <w:t xml:space="preserve"> limit of detection</w:t>
      </w:r>
      <w:r>
        <w:rPr>
          <w:sz w:val="16"/>
          <w:lang w:eastAsia="en-AU" w:bidi="ar-SA"/>
        </w:rPr>
        <w:t xml:space="preserve"> for the assay</w:t>
      </w:r>
      <w:r w:rsidRPr="004521F1">
        <w:rPr>
          <w:sz w:val="16"/>
          <w:lang w:eastAsia="en-AU" w:bidi="ar-SA"/>
        </w:rPr>
        <w:t>. 4. NA – not applicable.</w:t>
      </w:r>
    </w:p>
    <w:p w14:paraId="11BBF398" w14:textId="77777777" w:rsidR="000E184E" w:rsidRDefault="000E184E" w:rsidP="000E184E">
      <w:pPr>
        <w:rPr>
          <w:lang w:eastAsia="en-AU" w:bidi="ar-SA"/>
        </w:rPr>
      </w:pPr>
    </w:p>
    <w:p w14:paraId="7B9E8B14" w14:textId="01839BD3" w:rsidR="00600748" w:rsidRDefault="00600748" w:rsidP="00221257">
      <w:pPr>
        <w:pStyle w:val="Heading3"/>
      </w:pPr>
      <w:bookmarkStart w:id="192" w:name="_Toc34824992"/>
      <w:r>
        <w:t>4.2.3</w:t>
      </w:r>
      <w:r w:rsidRPr="00262CF4">
        <w:tab/>
      </w:r>
      <w:r>
        <w:t>Safety of HPPD-4</w:t>
      </w:r>
      <w:r w:rsidRPr="00262CF4">
        <w:t xml:space="preserve"> </w:t>
      </w:r>
      <w:r>
        <w:t>in GMB151 grain</w:t>
      </w:r>
      <w:bookmarkEnd w:id="192"/>
    </w:p>
    <w:p w14:paraId="3067A53F" w14:textId="207E8B93" w:rsidR="003B4FBA" w:rsidRDefault="003B4FBA" w:rsidP="003B4FBA">
      <w:pPr>
        <w:pStyle w:val="Heading3"/>
      </w:pPr>
      <w:r>
        <w:t>Bioinformatic analyses of HPPD-4</w:t>
      </w:r>
    </w:p>
    <w:p w14:paraId="1F705A7A" w14:textId="295C4A4A" w:rsidR="00443782" w:rsidRPr="00C4763C" w:rsidRDefault="00443782" w:rsidP="00443782">
      <w:pPr>
        <w:rPr>
          <w:lang w:bidi="ar-SA"/>
        </w:rPr>
      </w:pPr>
      <w:r w:rsidRPr="00C4763C">
        <w:rPr>
          <w:lang w:bidi="ar-SA"/>
        </w:rPr>
        <w:t xml:space="preserve">The </w:t>
      </w:r>
      <w:r w:rsidR="006B4590">
        <w:rPr>
          <w:lang w:bidi="ar-SA"/>
        </w:rPr>
        <w:t>A</w:t>
      </w:r>
      <w:r w:rsidR="005934BB">
        <w:rPr>
          <w:lang w:bidi="ar-SA"/>
        </w:rPr>
        <w:t>pplicant</w:t>
      </w:r>
      <w:r w:rsidRPr="00C4763C">
        <w:rPr>
          <w:lang w:bidi="ar-SA"/>
        </w:rPr>
        <w:t xml:space="preserve"> provided the results of </w:t>
      </w:r>
      <w:r w:rsidRPr="00C4763C">
        <w:rPr>
          <w:i/>
          <w:lang w:bidi="ar-SA"/>
        </w:rPr>
        <w:t>in silico</w:t>
      </w:r>
      <w:r w:rsidRPr="00C4763C">
        <w:rPr>
          <w:lang w:bidi="ar-SA"/>
        </w:rPr>
        <w:t xml:space="preserve"> analyses comparing the </w:t>
      </w:r>
      <w:r>
        <w:rPr>
          <w:lang w:bidi="ar-SA"/>
        </w:rPr>
        <w:t>HPPD-4</w:t>
      </w:r>
      <w:r w:rsidRPr="00C4763C">
        <w:rPr>
          <w:lang w:bidi="ar-SA"/>
        </w:rPr>
        <w:t xml:space="preserve"> amino acid sequence to known allergenic proteins in the COMPARE dataset, using the same search criteria as outlined in </w:t>
      </w:r>
      <w:hyperlink w:anchor="_3.4.5.1__Bioinformatic" w:history="1">
        <w:r w:rsidRPr="0041039A">
          <w:rPr>
            <w:rStyle w:val="Hyperlink"/>
            <w:lang w:bidi="ar-SA"/>
          </w:rPr>
          <w:t>Section 3.4.5.1</w:t>
        </w:r>
      </w:hyperlink>
      <w:r w:rsidRPr="00C4763C">
        <w:rPr>
          <w:lang w:bidi="ar-SA"/>
        </w:rPr>
        <w:t xml:space="preserve">. The search did not identify any known allergens with </w:t>
      </w:r>
      <w:r w:rsidR="005E69DC">
        <w:rPr>
          <w:lang w:bidi="ar-SA"/>
        </w:rPr>
        <w:t>amino acid sequence similarity</w:t>
      </w:r>
      <w:r w:rsidR="005E69DC" w:rsidRPr="00C4763C">
        <w:rPr>
          <w:lang w:bidi="ar-SA"/>
        </w:rPr>
        <w:t xml:space="preserve"> </w:t>
      </w:r>
      <w:r w:rsidRPr="00C4763C">
        <w:rPr>
          <w:lang w:bidi="ar-SA"/>
        </w:rPr>
        <w:t xml:space="preserve">to </w:t>
      </w:r>
      <w:r>
        <w:rPr>
          <w:lang w:bidi="ar-SA"/>
        </w:rPr>
        <w:t>this protein</w:t>
      </w:r>
      <w:r w:rsidRPr="00C4763C">
        <w:rPr>
          <w:lang w:bidi="ar-SA"/>
        </w:rPr>
        <w:t>.</w:t>
      </w:r>
    </w:p>
    <w:p w14:paraId="344BBF98" w14:textId="77777777" w:rsidR="00443782" w:rsidRPr="00816E71" w:rsidRDefault="00443782" w:rsidP="00443782">
      <w:pPr>
        <w:rPr>
          <w:highlight w:val="yellow"/>
          <w:lang w:bidi="ar-SA"/>
        </w:rPr>
      </w:pPr>
    </w:p>
    <w:p w14:paraId="73CA9B18" w14:textId="7646CAB4" w:rsidR="00443782" w:rsidRDefault="00443782" w:rsidP="00443782">
      <w:pPr>
        <w:rPr>
          <w:lang w:bidi="ar-SA"/>
        </w:rPr>
      </w:pPr>
      <w:r w:rsidRPr="00C4763C">
        <w:rPr>
          <w:lang w:bidi="ar-SA"/>
        </w:rPr>
        <w:t xml:space="preserve">The </w:t>
      </w:r>
      <w:r w:rsidR="006B4590">
        <w:rPr>
          <w:lang w:bidi="ar-SA"/>
        </w:rPr>
        <w:t>A</w:t>
      </w:r>
      <w:r w:rsidR="005934BB">
        <w:rPr>
          <w:lang w:bidi="ar-SA"/>
        </w:rPr>
        <w:t>pplicant</w:t>
      </w:r>
      <w:r w:rsidRPr="00C4763C">
        <w:rPr>
          <w:lang w:bidi="ar-SA"/>
        </w:rPr>
        <w:t xml:space="preserve"> also provided the results of </w:t>
      </w:r>
      <w:r w:rsidRPr="00C4763C">
        <w:rPr>
          <w:i/>
          <w:lang w:bidi="ar-SA"/>
        </w:rPr>
        <w:t>in silico</w:t>
      </w:r>
      <w:r w:rsidRPr="00C4763C">
        <w:rPr>
          <w:lang w:bidi="ar-SA"/>
        </w:rPr>
        <w:t xml:space="preserve"> analyses comparing the amino acid sequence of </w:t>
      </w:r>
      <w:r>
        <w:rPr>
          <w:lang w:bidi="ar-SA"/>
        </w:rPr>
        <w:t>HPPD-4</w:t>
      </w:r>
      <w:r w:rsidRPr="00C4763C">
        <w:rPr>
          <w:lang w:bidi="ar-SA"/>
        </w:rPr>
        <w:t xml:space="preserve"> to proteins identified as “toxins” from the NCBI protein databases. </w:t>
      </w:r>
      <w:r>
        <w:rPr>
          <w:lang w:bidi="ar-SA"/>
        </w:rPr>
        <w:t>The search did match to other HPPD proteins from a range of species but</w:t>
      </w:r>
      <w:r w:rsidR="00E32BA4">
        <w:rPr>
          <w:lang w:bidi="ar-SA"/>
        </w:rPr>
        <w:t>,</w:t>
      </w:r>
      <w:r>
        <w:rPr>
          <w:lang w:bidi="ar-SA"/>
        </w:rPr>
        <w:t xml:space="preserve"> did not match to proteins with known toxicity. Comparison of the HPPD-4 sequence to a toxin-specific database did not identify any similarities to known toxins within the threshold limits.</w:t>
      </w:r>
    </w:p>
    <w:p w14:paraId="4B096C32" w14:textId="1CA6D501" w:rsidR="00443782" w:rsidRDefault="00443782" w:rsidP="00221257">
      <w:pPr>
        <w:pStyle w:val="Heading3"/>
      </w:pPr>
      <w:bookmarkStart w:id="193" w:name="_Structural_stability_after_1"/>
      <w:bookmarkEnd w:id="193"/>
      <w:r>
        <w:t>Structural stability after exposure to heat and digestive enzymes</w:t>
      </w:r>
    </w:p>
    <w:p w14:paraId="4388A5E9" w14:textId="34B04425" w:rsidR="00443782" w:rsidRDefault="001C6DA9" w:rsidP="00443782">
      <w:pPr>
        <w:rPr>
          <w:lang w:bidi="ar-SA"/>
        </w:rPr>
      </w:pPr>
      <w:r>
        <w:rPr>
          <w:lang w:bidi="ar-SA"/>
        </w:rPr>
        <w:t xml:space="preserve">Following the same protocols described in </w:t>
      </w:r>
      <w:hyperlink w:anchor="_Structural_stability_after" w:history="1">
        <w:r w:rsidR="0041039A" w:rsidRPr="0041039A">
          <w:rPr>
            <w:rStyle w:val="Hyperlink"/>
            <w:lang w:bidi="ar-SA"/>
          </w:rPr>
          <w:t xml:space="preserve">Section </w:t>
        </w:r>
        <w:r w:rsidRPr="0041039A">
          <w:rPr>
            <w:rStyle w:val="Hyperlink"/>
            <w:lang w:bidi="ar-SA"/>
          </w:rPr>
          <w:t>4.1.3</w:t>
        </w:r>
      </w:hyperlink>
      <w:r>
        <w:rPr>
          <w:lang w:bidi="ar-SA"/>
        </w:rPr>
        <w:t xml:space="preserve">, HPPD-4 was shown to become insoluble, possibly forming aggregates, at temperatures </w:t>
      </w:r>
      <w:r>
        <w:rPr>
          <w:rFonts w:cs="Arial"/>
          <w:lang w:bidi="ar-SA"/>
        </w:rPr>
        <w:t>≥</w:t>
      </w:r>
      <w:r>
        <w:rPr>
          <w:lang w:bidi="ar-SA"/>
        </w:rPr>
        <w:t xml:space="preserve"> 55</w:t>
      </w:r>
      <w:r>
        <w:rPr>
          <w:rFonts w:cs="Arial"/>
          <w:lang w:bidi="ar-SA"/>
        </w:rPr>
        <w:t>°</w:t>
      </w:r>
      <w:r>
        <w:rPr>
          <w:lang w:bidi="ar-SA"/>
        </w:rPr>
        <w:t xml:space="preserve">C, was </w:t>
      </w:r>
      <w:r w:rsidR="00204EE2">
        <w:rPr>
          <w:lang w:bidi="ar-SA"/>
        </w:rPr>
        <w:t>fully</w:t>
      </w:r>
      <w:r>
        <w:rPr>
          <w:lang w:bidi="ar-SA"/>
        </w:rPr>
        <w:t xml:space="preserve"> digested with pepsin by 0.5</w:t>
      </w:r>
      <w:r w:rsidR="0092310B">
        <w:rPr>
          <w:lang w:bidi="ar-SA"/>
        </w:rPr>
        <w:t xml:space="preserve"> </w:t>
      </w:r>
      <w:r>
        <w:rPr>
          <w:lang w:bidi="ar-SA"/>
        </w:rPr>
        <w:t>m</w:t>
      </w:r>
      <w:r w:rsidR="0092310B">
        <w:rPr>
          <w:lang w:bidi="ar-SA"/>
        </w:rPr>
        <w:t>in</w:t>
      </w:r>
      <w:r>
        <w:rPr>
          <w:lang w:bidi="ar-SA"/>
        </w:rPr>
        <w:t xml:space="preserve"> and with pancreatin by 10</w:t>
      </w:r>
      <w:r w:rsidR="0092310B">
        <w:rPr>
          <w:lang w:bidi="ar-SA"/>
        </w:rPr>
        <w:t xml:space="preserve"> </w:t>
      </w:r>
      <w:r>
        <w:rPr>
          <w:lang w:bidi="ar-SA"/>
        </w:rPr>
        <w:t>m</w:t>
      </w:r>
      <w:r w:rsidR="0092310B">
        <w:rPr>
          <w:lang w:bidi="ar-SA"/>
        </w:rPr>
        <w:t>in</w:t>
      </w:r>
      <w:r>
        <w:rPr>
          <w:lang w:bidi="ar-SA"/>
        </w:rPr>
        <w:t>. This data indicates that HPPD-4 is heat denatured</w:t>
      </w:r>
      <w:r w:rsidR="00204EE2">
        <w:rPr>
          <w:lang w:bidi="ar-SA"/>
        </w:rPr>
        <w:t xml:space="preserve"> and is readily degraded by enzymes found in the digestive system</w:t>
      </w:r>
      <w:r>
        <w:rPr>
          <w:lang w:bidi="ar-SA"/>
        </w:rPr>
        <w:t>.</w:t>
      </w:r>
    </w:p>
    <w:p w14:paraId="20A42CB9" w14:textId="2FF95944" w:rsidR="00443782" w:rsidRDefault="00443782" w:rsidP="00221257">
      <w:pPr>
        <w:pStyle w:val="Heading3"/>
      </w:pPr>
      <w:r>
        <w:t>Acute toxicity studies</w:t>
      </w:r>
    </w:p>
    <w:p w14:paraId="55547113" w14:textId="323898AC" w:rsidR="00443782" w:rsidRDefault="00274335" w:rsidP="00443782">
      <w:r>
        <w:t xml:space="preserve">The </w:t>
      </w:r>
      <w:r w:rsidR="006B4590">
        <w:t>A</w:t>
      </w:r>
      <w:r>
        <w:t>pplicant provide</w:t>
      </w:r>
      <w:r w:rsidR="003B4FBA">
        <w:t>d</w:t>
      </w:r>
      <w:r>
        <w:t xml:space="preserve"> an acute toxicity study on HPPD-4, using the same test guidelines outlined in </w:t>
      </w:r>
      <w:hyperlink w:anchor="_Acute_toxicity_studies" w:history="1">
        <w:r w:rsidRPr="0041039A">
          <w:rPr>
            <w:rStyle w:val="Hyperlink"/>
          </w:rPr>
          <w:t>Section 4.1.3</w:t>
        </w:r>
      </w:hyperlink>
      <w:r>
        <w:t xml:space="preserve">. </w:t>
      </w:r>
    </w:p>
    <w:p w14:paraId="2382C4C3" w14:textId="77777777" w:rsidR="00443782" w:rsidRDefault="00443782" w:rsidP="00443782"/>
    <w:p w14:paraId="7C1A67E5" w14:textId="0EAB7BD3" w:rsidR="00443782" w:rsidRPr="004432D7" w:rsidRDefault="00274335" w:rsidP="00443782">
      <w:r>
        <w:t>Similar to the results for Cry14Ab1, there were n</w:t>
      </w:r>
      <w:r w:rsidR="00443782">
        <w:t>o mortalities</w:t>
      </w:r>
      <w:r>
        <w:t xml:space="preserve"> or treatment-related clinical signs</w:t>
      </w:r>
      <w:r w:rsidR="00443782">
        <w:t xml:space="preserve"> </w:t>
      </w:r>
      <w:r>
        <w:t>reported</w:t>
      </w:r>
      <w:r w:rsidR="00443782">
        <w:t xml:space="preserve"> during the study. </w:t>
      </w:r>
      <w:r w:rsidR="00443782">
        <w:rPr>
          <w:rFonts w:cs="Arial"/>
          <w:color w:val="000000" w:themeColor="text1"/>
          <w:szCs w:val="22"/>
        </w:rPr>
        <w:t>Mean weekly body weights and body weight gains in all treatment groups were similar to those of controls. Food consumption was similar in all groups.</w:t>
      </w:r>
      <w:r w:rsidR="00443782">
        <w:t xml:space="preserve"> No macroscopic changes were reported at necropsy therefore histopathology was not required. The data shows </w:t>
      </w:r>
      <w:r>
        <w:t>HPPD-4</w:t>
      </w:r>
      <w:r w:rsidR="00443782">
        <w:t xml:space="preserve"> at 2000 mg/kg bw did not produce signs of systemic toxicity and was well tolerated by mice.</w:t>
      </w:r>
    </w:p>
    <w:p w14:paraId="1C10A88A" w14:textId="2F029929" w:rsidR="00443782" w:rsidRPr="00262CF4" w:rsidRDefault="00443782" w:rsidP="00221257">
      <w:pPr>
        <w:pStyle w:val="Heading3"/>
      </w:pPr>
      <w:bookmarkStart w:id="194" w:name="_Toc34824993"/>
      <w:r>
        <w:t>4.</w:t>
      </w:r>
      <w:r w:rsidR="003D31F6">
        <w:t>2</w:t>
      </w:r>
      <w:r w:rsidRPr="00D53E1B">
        <w:t>.</w:t>
      </w:r>
      <w:r>
        <w:t>4</w:t>
      </w:r>
      <w:r w:rsidRPr="00BF05BE">
        <w:tab/>
        <w:t>Conclusion</w:t>
      </w:r>
      <w:bookmarkEnd w:id="194"/>
    </w:p>
    <w:p w14:paraId="207B110A" w14:textId="6011F116" w:rsidR="00274335" w:rsidRDefault="00443782" w:rsidP="00274335">
      <w:r>
        <w:t xml:space="preserve">Biochemical analysis of </w:t>
      </w:r>
      <w:r w:rsidR="00274335">
        <w:t>HPPD-4</w:t>
      </w:r>
      <w:r>
        <w:t xml:space="preserve"> expressed </w:t>
      </w:r>
      <w:r w:rsidRPr="000C1A6F">
        <w:rPr>
          <w:i/>
        </w:rPr>
        <w:t>in planta</w:t>
      </w:r>
      <w:r>
        <w:t xml:space="preserve"> showed that the protein had the expected molecular mass, peptide sequence and function. A</w:t>
      </w:r>
      <w:r w:rsidR="005E69DC">
        <w:t xml:space="preserve">nalysis of an </w:t>
      </w:r>
      <w:r>
        <w:t xml:space="preserve">equivalent </w:t>
      </w:r>
      <w:r w:rsidR="00274335">
        <w:t>HPPD-4</w:t>
      </w:r>
      <w:r>
        <w:t xml:space="preserve"> protein expressed in bacteria confirmed that the protein was heat labile and susceptible to peptic </w:t>
      </w:r>
      <w:r w:rsidR="00274335">
        <w:t xml:space="preserve">and pancreatic </w:t>
      </w:r>
      <w:r>
        <w:t xml:space="preserve">digestion. </w:t>
      </w:r>
      <w:r w:rsidRPr="000C1A6F">
        <w:rPr>
          <w:i/>
        </w:rPr>
        <w:t>In silico</w:t>
      </w:r>
      <w:r>
        <w:t xml:space="preserve"> analyses </w:t>
      </w:r>
      <w:r w:rsidR="005E69DC">
        <w:t>did not identify any significant similarity with known allergens or toxins</w:t>
      </w:r>
      <w:r>
        <w:t>. A</w:t>
      </w:r>
      <w:r w:rsidR="005E69DC">
        <w:t>n</w:t>
      </w:r>
      <w:r>
        <w:t xml:space="preserve"> acute toxicity study in mice demonstrated that </w:t>
      </w:r>
      <w:r w:rsidR="00274335">
        <w:t>HPPD-4</w:t>
      </w:r>
      <w:r>
        <w:t xml:space="preserve"> did not produce systemic toxicity.</w:t>
      </w:r>
      <w:bookmarkStart w:id="195" w:name="_Toc496169799"/>
      <w:r w:rsidR="005E69DC">
        <w:t xml:space="preserve"> Taken together, this indicates that HPPD-4 is unlikely to be toxic or allergenic to humans.</w:t>
      </w:r>
    </w:p>
    <w:p w14:paraId="4ABC546A" w14:textId="7E721971" w:rsidR="005E69DC" w:rsidRDefault="005E69DC" w:rsidP="00274335"/>
    <w:p w14:paraId="65FFA960" w14:textId="2191AED2" w:rsidR="003D31F6" w:rsidRDefault="003D31F6" w:rsidP="008928DE">
      <w:pPr>
        <w:pStyle w:val="Heading2"/>
        <w:rPr>
          <w:lang w:eastAsia="en-AU"/>
        </w:rPr>
      </w:pPr>
      <w:bookmarkStart w:id="196" w:name="_Toc34830895"/>
      <w:r>
        <w:rPr>
          <w:lang w:eastAsia="en-AU"/>
        </w:rPr>
        <w:t>4.</w:t>
      </w:r>
      <w:r w:rsidR="00274335">
        <w:rPr>
          <w:lang w:eastAsia="en-AU"/>
        </w:rPr>
        <w:t>4</w:t>
      </w:r>
      <w:r>
        <w:rPr>
          <w:lang w:eastAsia="en-AU"/>
        </w:rPr>
        <w:t xml:space="preserve"> </w:t>
      </w:r>
      <w:r>
        <w:rPr>
          <w:lang w:eastAsia="en-AU"/>
        </w:rPr>
        <w:tab/>
        <w:t>Novel herbicide metabolites in GM herbicide-tolerant plants</w:t>
      </w:r>
      <w:bookmarkEnd w:id="195"/>
      <w:bookmarkEnd w:id="196"/>
    </w:p>
    <w:p w14:paraId="2B6D6894" w14:textId="5F343A8F" w:rsidR="003D31F6" w:rsidRPr="00FD14DA" w:rsidRDefault="003D31F6" w:rsidP="003D31F6">
      <w:pPr>
        <w:rPr>
          <w:lang w:eastAsia="en-AU" w:bidi="ar-SA"/>
        </w:rPr>
      </w:pPr>
      <w:r>
        <w:rPr>
          <w:lang w:eastAsia="en-AU" w:bidi="ar-SA"/>
        </w:rPr>
        <w:t>FSANZ has previously assessed the novel herbicide metabolites for isoxaflutole. In the isoxaflutole-tolerant soybean event FG72 expressing the HPPD</w:t>
      </w:r>
      <w:r w:rsidRPr="00036A07">
        <w:rPr>
          <w:i/>
          <w:lang w:eastAsia="en-AU" w:bidi="ar-SA"/>
        </w:rPr>
        <w:t>Pf</w:t>
      </w:r>
      <w:r>
        <w:rPr>
          <w:lang w:eastAsia="en-AU" w:bidi="ar-SA"/>
        </w:rPr>
        <w:t xml:space="preserve"> W336 protein, (A1051; FSANZ 2011), the parental isoxaflutole and three major metabolites were identified. The same metabolites were also identified in non-GM corn varieties exposed to isoxaflutole (Pallett et al</w:t>
      </w:r>
      <w:r w:rsidR="00482D46">
        <w:rPr>
          <w:lang w:eastAsia="en-AU" w:bidi="ar-SA"/>
        </w:rPr>
        <w:t>.</w:t>
      </w:r>
      <w:r>
        <w:rPr>
          <w:lang w:eastAsia="en-AU" w:bidi="ar-SA"/>
        </w:rPr>
        <w:t xml:space="preserve"> 1998; </w:t>
      </w:r>
      <w:r w:rsidR="001368D6">
        <w:rPr>
          <w:lang w:eastAsia="en-AU" w:bidi="ar-SA"/>
        </w:rPr>
        <w:t xml:space="preserve">Sailland et al. </w:t>
      </w:r>
      <w:r>
        <w:rPr>
          <w:lang w:eastAsia="en-AU" w:bidi="ar-SA"/>
        </w:rPr>
        <w:t>2001), indicating that the metabolites are consistent across plant species. It is expected that no new isoxaflutole metabolites would be generated in soybean event GMB151.</w:t>
      </w:r>
    </w:p>
    <w:p w14:paraId="2F7992CC" w14:textId="7CB031DA" w:rsidR="00977222" w:rsidRPr="00DC0431" w:rsidRDefault="00977222" w:rsidP="00221257">
      <w:pPr>
        <w:pStyle w:val="Heading1"/>
        <w:ind w:left="567" w:hanging="567"/>
      </w:pPr>
      <w:bookmarkStart w:id="197" w:name="_Toc489531042"/>
      <w:bookmarkStart w:id="198" w:name="_Toc491439843"/>
      <w:bookmarkStart w:id="199" w:name="_Toc493515873"/>
      <w:bookmarkStart w:id="200" w:name="_5_Compositional_analysis"/>
      <w:bookmarkStart w:id="201" w:name="_Toc496169800"/>
      <w:bookmarkStart w:id="202" w:name="_Toc34830896"/>
      <w:bookmarkEnd w:id="197"/>
      <w:bookmarkEnd w:id="198"/>
      <w:bookmarkEnd w:id="199"/>
      <w:bookmarkEnd w:id="200"/>
      <w:r>
        <w:t>5</w:t>
      </w:r>
      <w:r>
        <w:tab/>
      </w:r>
      <w:r w:rsidRPr="00DC0431">
        <w:t>Compositional analysis</w:t>
      </w:r>
      <w:bookmarkEnd w:id="201"/>
      <w:bookmarkEnd w:id="202"/>
    </w:p>
    <w:p w14:paraId="66015713" w14:textId="77777777" w:rsidR="00977222" w:rsidRPr="00DD36BD" w:rsidRDefault="00977222" w:rsidP="00977222">
      <w:pPr>
        <w:autoSpaceDE w:val="0"/>
        <w:autoSpaceDN w:val="0"/>
        <w:adjustRightInd w:val="0"/>
        <w:rPr>
          <w:color w:val="000000" w:themeColor="text1"/>
        </w:rPr>
      </w:pPr>
      <w:r w:rsidRPr="00DD36BD">
        <w:rPr>
          <w:color w:val="000000" w:themeColor="text1"/>
        </w:rPr>
        <w:t xml:space="preserve">The main </w:t>
      </w:r>
      <w:r>
        <w:rPr>
          <w:color w:val="000000" w:themeColor="text1"/>
        </w:rPr>
        <w:t>purpose of compositional analyse</w:t>
      </w:r>
      <w:r w:rsidRPr="00DD36BD">
        <w:rPr>
          <w:color w:val="000000" w:themeColor="text1"/>
        </w:rPr>
        <w:t xml:space="preserve">s is to determine if, as a result </w:t>
      </w:r>
      <w:r>
        <w:rPr>
          <w:color w:val="000000" w:themeColor="text1"/>
        </w:rPr>
        <w:t>of the genetic modification, an</w:t>
      </w:r>
      <w:r w:rsidRPr="00DD36BD">
        <w:rPr>
          <w:color w:val="000000" w:themeColor="text1"/>
        </w:rPr>
        <w:t xml:space="preserve"> unexpected change ha</w:t>
      </w:r>
      <w:r>
        <w:rPr>
          <w:color w:val="000000" w:themeColor="text1"/>
        </w:rPr>
        <w:t>s</w:t>
      </w:r>
      <w:r w:rsidRPr="00DD36BD">
        <w:rPr>
          <w:color w:val="000000" w:themeColor="text1"/>
        </w:rPr>
        <w:t xml:space="preserve"> occurred to the food. These changes could take the form of alterations in the composition of the plant and its tissues and thus its nutritional</w:t>
      </w:r>
      <w:r>
        <w:rPr>
          <w:color w:val="000000" w:themeColor="text1"/>
        </w:rPr>
        <w:t xml:space="preserve"> adequacy. Compositional analyse</w:t>
      </w:r>
      <w:r w:rsidRPr="00DD36BD">
        <w:rPr>
          <w:color w:val="000000" w:themeColor="text1"/>
        </w:rPr>
        <w:t>s can also be important for evaluating the intended effect where there has been a deliberate change to the composition of the food.</w:t>
      </w:r>
    </w:p>
    <w:p w14:paraId="5C76723B" w14:textId="77777777" w:rsidR="00977222" w:rsidRPr="00DD36BD" w:rsidRDefault="00977222" w:rsidP="00977222">
      <w:pPr>
        <w:autoSpaceDE w:val="0"/>
        <w:autoSpaceDN w:val="0"/>
        <w:adjustRightInd w:val="0"/>
        <w:rPr>
          <w:color w:val="000000" w:themeColor="text1"/>
        </w:rPr>
      </w:pPr>
    </w:p>
    <w:p w14:paraId="4E1E2F5C" w14:textId="08B1A474" w:rsidR="00DF3C41" w:rsidRDefault="00977222" w:rsidP="00D877D8">
      <w:pPr>
        <w:autoSpaceDE w:val="0"/>
        <w:autoSpaceDN w:val="0"/>
        <w:adjustRightInd w:val="0"/>
        <w:rPr>
          <w:color w:val="000000" w:themeColor="text1"/>
        </w:rPr>
      </w:pPr>
      <w:r w:rsidRPr="00DD36BD">
        <w:rPr>
          <w:color w:val="000000" w:themeColor="text1"/>
        </w:rPr>
        <w:t>The classic appro</w:t>
      </w:r>
      <w:r>
        <w:rPr>
          <w:color w:val="000000" w:themeColor="text1"/>
        </w:rPr>
        <w:t>ach to the compositional analyse</w:t>
      </w:r>
      <w:r w:rsidRPr="00DD36BD">
        <w:rPr>
          <w:color w:val="000000" w:themeColor="text1"/>
        </w:rPr>
        <w:t xml:space="preserve">s of GM food is a targeted one. Rather than analysing every </w:t>
      </w:r>
      <w:r>
        <w:rPr>
          <w:color w:val="000000" w:themeColor="text1"/>
        </w:rPr>
        <w:t>possible</w:t>
      </w:r>
      <w:r w:rsidRPr="00DD36BD">
        <w:rPr>
          <w:color w:val="000000" w:themeColor="text1"/>
        </w:rPr>
        <w:t xml:space="preserve"> constituent, which would be impractical, the aim is to analyse only those constituents most relevant to the safety of the food or that may have an impact on the whole diet. Important analytes therefore include the key nutrients, toxicants and anti-nutrients for the food in question. The key nutrients and anti-nutrients are those components in a particular food that may have a substantial impact in the overall diet. They may be major constituents (fats, proteins, carbohydrates or enzyme inhibitors such as anti-nutrients) or minor constituents (minerals, vitamins). Key toxicants are those toxicologically significant compounds known to be inherently present in an organism, such as compounds whose toxic potency and level may be significant to health</w:t>
      </w:r>
      <w:r>
        <w:rPr>
          <w:color w:val="000000" w:themeColor="text1"/>
        </w:rPr>
        <w:t>.</w:t>
      </w:r>
    </w:p>
    <w:p w14:paraId="44D24DCE" w14:textId="77777777" w:rsidR="00977222" w:rsidRDefault="00977222" w:rsidP="008928DE">
      <w:pPr>
        <w:pStyle w:val="Heading2"/>
      </w:pPr>
      <w:bookmarkStart w:id="203" w:name="_Toc496169801"/>
      <w:bookmarkStart w:id="204" w:name="_Toc34830897"/>
      <w:r>
        <w:t>5.1 Key Components</w:t>
      </w:r>
      <w:bookmarkEnd w:id="203"/>
      <w:bookmarkEnd w:id="204"/>
    </w:p>
    <w:p w14:paraId="728298D3" w14:textId="63AE58B5" w:rsidR="00977222" w:rsidRDefault="006E49E2" w:rsidP="00977222">
      <w:pPr>
        <w:autoSpaceDE w:val="0"/>
        <w:autoSpaceDN w:val="0"/>
        <w:adjustRightInd w:val="0"/>
        <w:rPr>
          <w:color w:val="000000" w:themeColor="text1"/>
        </w:rPr>
      </w:pPr>
      <w:r w:rsidRPr="00D17F39">
        <w:rPr>
          <w:color w:val="000000" w:themeColor="text1"/>
        </w:rPr>
        <w:t xml:space="preserve">The key components to be analysed for the comparison of transgenic and conventional </w:t>
      </w:r>
      <w:r>
        <w:rPr>
          <w:color w:val="000000" w:themeColor="text1"/>
        </w:rPr>
        <w:t>soybean</w:t>
      </w:r>
      <w:r w:rsidRPr="00D17F39">
        <w:rPr>
          <w:color w:val="000000" w:themeColor="text1"/>
        </w:rPr>
        <w:t xml:space="preserve"> are outlined in the OECD Consensus Document on Compositional Considerations for New Varieties of </w:t>
      </w:r>
      <w:r>
        <w:rPr>
          <w:color w:val="000000" w:themeColor="text1"/>
        </w:rPr>
        <w:t>Soybean (OECD 2012)</w:t>
      </w:r>
      <w:r w:rsidRPr="00D17F39">
        <w:rPr>
          <w:color w:val="000000" w:themeColor="text1"/>
        </w:rPr>
        <w:t>, and include</w:t>
      </w:r>
      <w:r>
        <w:rPr>
          <w:color w:val="000000" w:themeColor="text1"/>
        </w:rPr>
        <w:t>:</w:t>
      </w:r>
      <w:r w:rsidRPr="00D17F39">
        <w:rPr>
          <w:color w:val="000000" w:themeColor="text1"/>
        </w:rPr>
        <w:t xml:space="preserve"> proximates</w:t>
      </w:r>
      <w:r>
        <w:rPr>
          <w:color w:val="000000" w:themeColor="text1"/>
        </w:rPr>
        <w:t xml:space="preserve"> and fibre</w:t>
      </w:r>
      <w:r w:rsidRPr="00D17F39">
        <w:rPr>
          <w:color w:val="000000" w:themeColor="text1"/>
        </w:rPr>
        <w:t xml:space="preserve">, </w:t>
      </w:r>
      <w:r>
        <w:rPr>
          <w:color w:val="000000" w:themeColor="text1"/>
        </w:rPr>
        <w:t xml:space="preserve">amino acids, </w:t>
      </w:r>
      <w:r w:rsidRPr="00D17F39">
        <w:rPr>
          <w:color w:val="000000" w:themeColor="text1"/>
        </w:rPr>
        <w:t>fatty acids, tocopherol</w:t>
      </w:r>
      <w:r>
        <w:rPr>
          <w:color w:val="000000" w:themeColor="text1"/>
        </w:rPr>
        <w:t xml:space="preserve"> (vitamin E)</w:t>
      </w:r>
      <w:r w:rsidR="00CD2D31">
        <w:rPr>
          <w:color w:val="000000" w:themeColor="text1"/>
        </w:rPr>
        <w:t xml:space="preserve">, </w:t>
      </w:r>
      <w:r>
        <w:rPr>
          <w:color w:val="000000" w:themeColor="text1"/>
        </w:rPr>
        <w:t>vitamin K1</w:t>
      </w:r>
      <w:r w:rsidR="00CD2D31">
        <w:rPr>
          <w:color w:val="000000" w:themeColor="text1"/>
        </w:rPr>
        <w:t xml:space="preserve"> and the anti-nutrients</w:t>
      </w:r>
      <w:r w:rsidRPr="00D17F39">
        <w:rPr>
          <w:color w:val="000000" w:themeColor="text1"/>
        </w:rPr>
        <w:t xml:space="preserve"> </w:t>
      </w:r>
      <w:r>
        <w:rPr>
          <w:color w:val="000000" w:themeColor="text1"/>
        </w:rPr>
        <w:t xml:space="preserve">phytic acid, stachyose. </w:t>
      </w:r>
      <w:r w:rsidR="00784D25">
        <w:rPr>
          <w:color w:val="000000" w:themeColor="text1"/>
        </w:rPr>
        <w:t>r</w:t>
      </w:r>
      <w:r>
        <w:rPr>
          <w:color w:val="000000" w:themeColor="text1"/>
        </w:rPr>
        <w:t>affinose</w:t>
      </w:r>
      <w:r w:rsidR="00784D25">
        <w:rPr>
          <w:color w:val="000000" w:themeColor="text1"/>
        </w:rPr>
        <w:t>, l</w:t>
      </w:r>
      <w:r>
        <w:rPr>
          <w:color w:val="000000" w:themeColor="text1"/>
        </w:rPr>
        <w:t>ectins and isoflavones.</w:t>
      </w:r>
    </w:p>
    <w:p w14:paraId="6B766F4F" w14:textId="77777777" w:rsidR="00CB3819" w:rsidRDefault="00CB3819">
      <w:pPr>
        <w:widowControl/>
        <w:rPr>
          <w:rFonts w:cs="Arial"/>
          <w:b/>
          <w:bCs/>
          <w:sz w:val="28"/>
          <w:szCs w:val="22"/>
          <w:lang w:bidi="ar-SA"/>
        </w:rPr>
      </w:pPr>
      <w:bookmarkStart w:id="205" w:name="_5.2_Study_design"/>
      <w:bookmarkStart w:id="206" w:name="_Toc482255835"/>
      <w:bookmarkStart w:id="207" w:name="_Toc496169802"/>
      <w:bookmarkStart w:id="208" w:name="_Toc34830898"/>
      <w:bookmarkEnd w:id="205"/>
      <w:r>
        <w:br w:type="page"/>
      </w:r>
    </w:p>
    <w:p w14:paraId="40E73837" w14:textId="7E8FBDEF" w:rsidR="00977222" w:rsidRDefault="00977222" w:rsidP="008928DE">
      <w:pPr>
        <w:pStyle w:val="Heading2"/>
      </w:pPr>
      <w:r>
        <w:t>5.2</w:t>
      </w:r>
      <w:r w:rsidRPr="00DD36BD">
        <w:tab/>
        <w:t>Study design</w:t>
      </w:r>
      <w:bookmarkEnd w:id="206"/>
      <w:bookmarkEnd w:id="207"/>
      <w:bookmarkEnd w:id="208"/>
    </w:p>
    <w:p w14:paraId="01645B4B" w14:textId="1D996C81" w:rsidR="00977222" w:rsidRDefault="00C372AF" w:rsidP="00977222">
      <w:pPr>
        <w:rPr>
          <w:color w:val="000000" w:themeColor="text1"/>
        </w:rPr>
      </w:pPr>
      <w:r>
        <w:rPr>
          <w:color w:val="000000" w:themeColor="text1"/>
        </w:rPr>
        <w:t>Eight</w:t>
      </w:r>
      <w:r w:rsidR="00977222">
        <w:rPr>
          <w:color w:val="000000" w:themeColor="text1"/>
        </w:rPr>
        <w:t xml:space="preserve"> successful field trials were conducted for </w:t>
      </w:r>
      <w:r w:rsidR="00784D25">
        <w:rPr>
          <w:color w:val="000000" w:themeColor="text1"/>
        </w:rPr>
        <w:t>GMB151</w:t>
      </w:r>
      <w:r w:rsidR="00977222">
        <w:rPr>
          <w:color w:val="000000" w:themeColor="text1"/>
        </w:rPr>
        <w:t xml:space="preserve"> in the US </w:t>
      </w:r>
      <w:r w:rsidR="00784D25">
        <w:rPr>
          <w:color w:val="000000" w:themeColor="text1"/>
        </w:rPr>
        <w:t>in the 2017 growing season</w:t>
      </w:r>
      <w:r w:rsidR="001C2610">
        <w:rPr>
          <w:color w:val="000000" w:themeColor="text1"/>
        </w:rPr>
        <w:t>s</w:t>
      </w:r>
      <w:r w:rsidR="00977222">
        <w:rPr>
          <w:color w:val="000000" w:themeColor="text1"/>
        </w:rPr>
        <w:t xml:space="preserve">. </w:t>
      </w:r>
      <w:r w:rsidR="00C6241E">
        <w:rPr>
          <w:color w:val="000000" w:themeColor="text1"/>
        </w:rPr>
        <w:t>T</w:t>
      </w:r>
      <w:r w:rsidR="00977222">
        <w:rPr>
          <w:color w:val="000000" w:themeColor="text1"/>
        </w:rPr>
        <w:t>he sites</w:t>
      </w:r>
      <w:r w:rsidR="00977222">
        <w:rPr>
          <w:rStyle w:val="FootnoteReference"/>
          <w:color w:val="000000" w:themeColor="text1"/>
        </w:rPr>
        <w:footnoteReference w:id="5"/>
      </w:r>
      <w:r w:rsidR="00977222">
        <w:rPr>
          <w:color w:val="000000" w:themeColor="text1"/>
        </w:rPr>
        <w:t xml:space="preserve"> were selected to match the typical geographical and field management styles of the commercial </w:t>
      </w:r>
      <w:r w:rsidR="00C6241E">
        <w:rPr>
          <w:color w:val="000000" w:themeColor="text1"/>
        </w:rPr>
        <w:t>soybean</w:t>
      </w:r>
      <w:r w:rsidR="00977222">
        <w:rPr>
          <w:color w:val="000000" w:themeColor="text1"/>
        </w:rPr>
        <w:t xml:space="preserve"> growing regions. </w:t>
      </w:r>
      <w:r w:rsidR="00977222" w:rsidRPr="00AF79F8">
        <w:rPr>
          <w:color w:val="000000" w:themeColor="text1"/>
        </w:rPr>
        <w:t xml:space="preserve">The agronomic practices and pest control measures used were location-specific and were typical for all aspects of </w:t>
      </w:r>
      <w:r w:rsidR="00C6241E">
        <w:rPr>
          <w:color w:val="000000" w:themeColor="text1"/>
        </w:rPr>
        <w:t>soybean</w:t>
      </w:r>
      <w:r w:rsidR="00977222" w:rsidRPr="00AF79F8">
        <w:rPr>
          <w:color w:val="000000" w:themeColor="text1"/>
        </w:rPr>
        <w:t xml:space="preserve"> cultivation including soil preparation, fertiliser application, irrigation and pesticide-based control methods.</w:t>
      </w:r>
      <w:r w:rsidR="00977222">
        <w:rPr>
          <w:color w:val="000000" w:themeColor="text1"/>
        </w:rPr>
        <w:t xml:space="preserve"> The materials tested in the field trials included </w:t>
      </w:r>
      <w:r w:rsidR="00C6241E">
        <w:rPr>
          <w:color w:val="000000" w:themeColor="text1"/>
        </w:rPr>
        <w:t>GMB151</w:t>
      </w:r>
      <w:r w:rsidR="00977222">
        <w:rPr>
          <w:color w:val="000000" w:themeColor="text1"/>
        </w:rPr>
        <w:t xml:space="preserve">, the parental </w:t>
      </w:r>
      <w:r w:rsidR="00C6241E">
        <w:rPr>
          <w:color w:val="000000" w:themeColor="text1"/>
        </w:rPr>
        <w:t>varietal Thorne</w:t>
      </w:r>
      <w:r w:rsidR="00977222">
        <w:rPr>
          <w:color w:val="000000" w:themeColor="text1"/>
        </w:rPr>
        <w:t xml:space="preserve"> and a range of reference varieties. Three reference varieties were grown at each site and were selected from </w:t>
      </w:r>
      <w:r w:rsidR="00F9612C">
        <w:rPr>
          <w:color w:val="000000" w:themeColor="text1"/>
        </w:rPr>
        <w:t>E2282, E2692, E2993, E3066, E3192, E3494, NGN 3121STS, NGN 3292C and NGN 3347C</w:t>
      </w:r>
      <w:r w:rsidR="00977222">
        <w:rPr>
          <w:color w:val="000000" w:themeColor="text1"/>
        </w:rPr>
        <w:t xml:space="preserve"> </w:t>
      </w:r>
    </w:p>
    <w:p w14:paraId="020F0066" w14:textId="77777777" w:rsidR="00977222" w:rsidRDefault="00977222" w:rsidP="00977222">
      <w:pPr>
        <w:rPr>
          <w:color w:val="000000" w:themeColor="text1"/>
        </w:rPr>
      </w:pPr>
    </w:p>
    <w:p w14:paraId="148F0CB8" w14:textId="56910019" w:rsidR="00977222" w:rsidRDefault="00977222" w:rsidP="00977222">
      <w:pPr>
        <w:rPr>
          <w:color w:val="000000" w:themeColor="text1"/>
        </w:rPr>
      </w:pPr>
      <w:r>
        <w:rPr>
          <w:color w:val="000000" w:themeColor="text1"/>
        </w:rPr>
        <w:t>The field trials were established in a randomised complete block design, with four replicates of each plot. Plots were separated by a combination of fallow alleyways and planted buffers of conventional</w:t>
      </w:r>
      <w:r w:rsidR="00C17559">
        <w:rPr>
          <w:color w:val="000000" w:themeColor="text1"/>
        </w:rPr>
        <w:t xml:space="preserve"> non-GM soybean</w:t>
      </w:r>
      <w:r>
        <w:rPr>
          <w:color w:val="000000" w:themeColor="text1"/>
        </w:rPr>
        <w:t>. Replicate plots of G</w:t>
      </w:r>
      <w:r w:rsidR="001C2610">
        <w:rPr>
          <w:color w:val="000000" w:themeColor="text1"/>
        </w:rPr>
        <w:t>M</w:t>
      </w:r>
      <w:r>
        <w:rPr>
          <w:color w:val="000000" w:themeColor="text1"/>
        </w:rPr>
        <w:t>B</w:t>
      </w:r>
      <w:r w:rsidR="001C2610">
        <w:rPr>
          <w:color w:val="000000" w:themeColor="text1"/>
        </w:rPr>
        <w:t>151</w:t>
      </w:r>
      <w:r>
        <w:rPr>
          <w:color w:val="000000" w:themeColor="text1"/>
        </w:rPr>
        <w:t xml:space="preserve"> were cultivated with and without herbicide treatment. Isoxaflutole was applied </w:t>
      </w:r>
      <w:r w:rsidR="001C2610">
        <w:rPr>
          <w:color w:val="000000" w:themeColor="text1"/>
        </w:rPr>
        <w:t>at the pre-</w:t>
      </w:r>
      <w:r>
        <w:rPr>
          <w:color w:val="000000" w:themeColor="text1"/>
        </w:rPr>
        <w:t xml:space="preserve">emergence stage at </w:t>
      </w:r>
      <w:r w:rsidR="001C2610">
        <w:rPr>
          <w:color w:val="000000" w:themeColor="text1"/>
        </w:rPr>
        <w:t>70.1</w:t>
      </w:r>
      <w:r>
        <w:rPr>
          <w:color w:val="000000" w:themeColor="text1"/>
        </w:rPr>
        <w:t xml:space="preserve"> g active ingredient (ai) per hectare (ha)</w:t>
      </w:r>
      <w:r w:rsidR="001C2610">
        <w:rPr>
          <w:color w:val="000000" w:themeColor="text1"/>
        </w:rPr>
        <w:t>.</w:t>
      </w:r>
      <w:r>
        <w:rPr>
          <w:color w:val="000000" w:themeColor="text1"/>
        </w:rPr>
        <w:t xml:space="preserve"> The spray volume w</w:t>
      </w:r>
      <w:r w:rsidR="001C2610">
        <w:rPr>
          <w:color w:val="000000" w:themeColor="text1"/>
        </w:rPr>
        <w:t>as</w:t>
      </w:r>
      <w:r>
        <w:rPr>
          <w:color w:val="000000" w:themeColor="text1"/>
        </w:rPr>
        <w:t xml:space="preserve"> </w:t>
      </w:r>
      <w:r w:rsidR="001C2610">
        <w:rPr>
          <w:color w:val="000000" w:themeColor="text1"/>
        </w:rPr>
        <w:t>139</w:t>
      </w:r>
      <w:r>
        <w:rPr>
          <w:color w:val="000000" w:themeColor="text1"/>
        </w:rPr>
        <w:t xml:space="preserve"> L/ha.  </w:t>
      </w:r>
    </w:p>
    <w:p w14:paraId="4EE7AEA4" w14:textId="77777777" w:rsidR="00977222" w:rsidRDefault="00977222" w:rsidP="00977222">
      <w:pPr>
        <w:widowControl/>
        <w:rPr>
          <w:rFonts w:cs="Arial"/>
          <w:b/>
        </w:rPr>
      </w:pPr>
    </w:p>
    <w:p w14:paraId="2923B92F" w14:textId="293A3092" w:rsidR="00977222" w:rsidRDefault="00C17559" w:rsidP="00977222">
      <w:pPr>
        <w:rPr>
          <w:color w:val="000000" w:themeColor="text1"/>
        </w:rPr>
      </w:pPr>
      <w:r>
        <w:rPr>
          <w:color w:val="000000" w:themeColor="text1"/>
        </w:rPr>
        <w:t xml:space="preserve">Soybean </w:t>
      </w:r>
      <w:r w:rsidR="00AE0ABC">
        <w:rPr>
          <w:color w:val="000000" w:themeColor="text1"/>
        </w:rPr>
        <w:t>grain</w:t>
      </w:r>
      <w:r w:rsidR="00136A5A">
        <w:rPr>
          <w:color w:val="000000" w:themeColor="text1"/>
        </w:rPr>
        <w:t>s</w:t>
      </w:r>
      <w:r w:rsidR="004E656C">
        <w:rPr>
          <w:color w:val="000000" w:themeColor="text1"/>
        </w:rPr>
        <w:t xml:space="preserve"> </w:t>
      </w:r>
      <w:r w:rsidR="00977222" w:rsidRPr="00944916">
        <w:rPr>
          <w:color w:val="000000" w:themeColor="text1"/>
        </w:rPr>
        <w:t xml:space="preserve">were harvested </w:t>
      </w:r>
      <w:r w:rsidRPr="00944916">
        <w:rPr>
          <w:color w:val="000000" w:themeColor="text1"/>
        </w:rPr>
        <w:t xml:space="preserve">from all plots </w:t>
      </w:r>
      <w:r w:rsidR="00977222" w:rsidRPr="00944916">
        <w:rPr>
          <w:color w:val="000000" w:themeColor="text1"/>
        </w:rPr>
        <w:t>at maturity</w:t>
      </w:r>
      <w:r w:rsidR="00580560">
        <w:rPr>
          <w:color w:val="000000" w:themeColor="text1"/>
        </w:rPr>
        <w:t xml:space="preserve">. After harvest, samples were </w:t>
      </w:r>
      <w:r w:rsidR="00977222" w:rsidRPr="00944916">
        <w:rPr>
          <w:color w:val="000000" w:themeColor="text1"/>
        </w:rPr>
        <w:t>despatch</w:t>
      </w:r>
      <w:r w:rsidR="00580560">
        <w:rPr>
          <w:color w:val="000000" w:themeColor="text1"/>
        </w:rPr>
        <w:t>ed</w:t>
      </w:r>
      <w:r w:rsidR="00977222" w:rsidRPr="00944916">
        <w:rPr>
          <w:color w:val="000000" w:themeColor="text1"/>
        </w:rPr>
        <w:t xml:space="preserve"> to </w:t>
      </w:r>
      <w:r w:rsidR="00977222">
        <w:rPr>
          <w:color w:val="000000" w:themeColor="text1"/>
        </w:rPr>
        <w:t xml:space="preserve">an </w:t>
      </w:r>
      <w:r w:rsidR="00977222" w:rsidRPr="00944916">
        <w:rPr>
          <w:color w:val="000000" w:themeColor="text1"/>
        </w:rPr>
        <w:t>analytical laborator</w:t>
      </w:r>
      <w:r w:rsidR="00977222">
        <w:rPr>
          <w:color w:val="000000" w:themeColor="text1"/>
        </w:rPr>
        <w:t>y</w:t>
      </w:r>
      <w:r w:rsidR="00977222" w:rsidRPr="00944916">
        <w:rPr>
          <w:color w:val="000000" w:themeColor="text1"/>
        </w:rPr>
        <w:t xml:space="preserve"> under full identity labelling. </w:t>
      </w:r>
      <w:r w:rsidR="00977222">
        <w:rPr>
          <w:color w:val="000000" w:themeColor="text1"/>
        </w:rPr>
        <w:t xml:space="preserve">The analyses were performed at EPL Bio Analytical Services. </w:t>
      </w:r>
      <w:r w:rsidR="00977222" w:rsidRPr="00F36C38">
        <w:rPr>
          <w:color w:val="000000" w:themeColor="text1"/>
        </w:rPr>
        <w:t>The composition</w:t>
      </w:r>
      <w:r w:rsidR="00977222">
        <w:rPr>
          <w:color w:val="000000" w:themeColor="text1"/>
        </w:rPr>
        <w:t>al</w:t>
      </w:r>
      <w:r w:rsidR="00977222" w:rsidRPr="00F36C38">
        <w:rPr>
          <w:color w:val="000000" w:themeColor="text1"/>
        </w:rPr>
        <w:t xml:space="preserve"> analyses</w:t>
      </w:r>
      <w:r w:rsidR="00977222">
        <w:rPr>
          <w:color w:val="000000" w:themeColor="text1"/>
        </w:rPr>
        <w:t xml:space="preserve"> were based on</w:t>
      </w:r>
      <w:r w:rsidR="00977222" w:rsidRPr="00F36C38">
        <w:rPr>
          <w:color w:val="000000" w:themeColor="text1"/>
        </w:rPr>
        <w:t xml:space="preserve"> internationally recognised procedures </w:t>
      </w:r>
      <w:r w:rsidR="00977222">
        <w:rPr>
          <w:color w:val="000000" w:themeColor="text1"/>
        </w:rPr>
        <w:t>including</w:t>
      </w:r>
      <w:r w:rsidR="00977222" w:rsidRPr="00F36C38">
        <w:rPr>
          <w:color w:val="000000" w:themeColor="text1"/>
        </w:rPr>
        <w:t xml:space="preserve"> </w:t>
      </w:r>
      <w:r w:rsidR="00977222">
        <w:rPr>
          <w:color w:val="000000" w:themeColor="text1"/>
        </w:rPr>
        <w:t>official methods specified</w:t>
      </w:r>
      <w:r w:rsidR="00977222" w:rsidRPr="00F36C38">
        <w:rPr>
          <w:color w:val="000000" w:themeColor="text1"/>
        </w:rPr>
        <w:t xml:space="preserve"> by the Association of Official Analytical Chemists (AOAC), the USDA </w:t>
      </w:r>
      <w:r w:rsidR="00977222" w:rsidRPr="002C2B29">
        <w:rPr>
          <w:color w:val="000000" w:themeColor="text1"/>
        </w:rPr>
        <w:t>and</w:t>
      </w:r>
      <w:r w:rsidR="00977222">
        <w:rPr>
          <w:color w:val="000000" w:themeColor="text1"/>
        </w:rPr>
        <w:t xml:space="preserve"> published articles or technical notes from</w:t>
      </w:r>
      <w:r w:rsidR="00977222" w:rsidRPr="002C2B29">
        <w:rPr>
          <w:color w:val="000000" w:themeColor="text1"/>
        </w:rPr>
        <w:t xml:space="preserve"> industr</w:t>
      </w:r>
      <w:r w:rsidR="00977222">
        <w:rPr>
          <w:color w:val="000000" w:themeColor="text1"/>
        </w:rPr>
        <w:t>ial-based sources</w:t>
      </w:r>
      <w:r w:rsidR="00977222" w:rsidRPr="00F36C38">
        <w:rPr>
          <w:color w:val="000000" w:themeColor="text1"/>
        </w:rPr>
        <w:t>.</w:t>
      </w:r>
      <w:r w:rsidR="00977222">
        <w:rPr>
          <w:color w:val="000000" w:themeColor="text1"/>
        </w:rPr>
        <w:t xml:space="preserve"> </w:t>
      </w:r>
    </w:p>
    <w:p w14:paraId="19309431" w14:textId="53239A0C" w:rsidR="00977222" w:rsidRDefault="00977222" w:rsidP="00977222">
      <w:pPr>
        <w:rPr>
          <w:rFonts w:cs="Arial"/>
          <w:szCs w:val="22"/>
        </w:rPr>
      </w:pPr>
      <w:r w:rsidRPr="00A41AFA">
        <w:rPr>
          <w:rFonts w:cs="Arial"/>
          <w:szCs w:val="22"/>
        </w:rPr>
        <w:t xml:space="preserve">A total of </w:t>
      </w:r>
      <w:r w:rsidR="00C372AF">
        <w:rPr>
          <w:rFonts w:cs="Arial"/>
          <w:szCs w:val="22"/>
        </w:rPr>
        <w:t>81</w:t>
      </w:r>
      <w:r w:rsidRPr="00A41AFA">
        <w:rPr>
          <w:rFonts w:cs="Arial"/>
          <w:szCs w:val="22"/>
        </w:rPr>
        <w:t xml:space="preserve"> different </w:t>
      </w:r>
      <w:r>
        <w:rPr>
          <w:rFonts w:cs="Arial"/>
          <w:szCs w:val="22"/>
        </w:rPr>
        <w:t>analytes</w:t>
      </w:r>
      <w:r w:rsidRPr="00A41AFA">
        <w:rPr>
          <w:rFonts w:cs="Arial"/>
          <w:szCs w:val="22"/>
        </w:rPr>
        <w:t xml:space="preserve"> were measured. </w:t>
      </w:r>
      <w:r w:rsidRPr="00D17F39">
        <w:rPr>
          <w:bCs/>
          <w:color w:val="000000" w:themeColor="text1"/>
        </w:rPr>
        <w:t>Statistical analyses were performed using SAS 9.</w:t>
      </w:r>
      <w:r w:rsidR="00C372AF">
        <w:rPr>
          <w:bCs/>
          <w:color w:val="000000" w:themeColor="text1"/>
        </w:rPr>
        <w:t>4</w:t>
      </w:r>
      <w:r w:rsidRPr="00D17F39">
        <w:rPr>
          <w:bCs/>
          <w:color w:val="000000" w:themeColor="text1"/>
        </w:rPr>
        <w:t xml:space="preserve"> (SAS Institute, Cary, NC). For each analyte, ‘descriptive statistics’ (mean and standard error) were generated</w:t>
      </w:r>
      <w:r>
        <w:rPr>
          <w:bCs/>
          <w:color w:val="000000" w:themeColor="text1"/>
        </w:rPr>
        <w:t>.</w:t>
      </w:r>
      <w:r w:rsidRPr="00A41AFA">
        <w:rPr>
          <w:rFonts w:cs="Arial"/>
          <w:szCs w:val="22"/>
        </w:rPr>
        <w:t xml:space="preserve"> </w:t>
      </w:r>
      <w:r w:rsidRPr="00F4070E">
        <w:rPr>
          <w:bCs/>
          <w:color w:val="000000" w:themeColor="text1"/>
        </w:rPr>
        <w:t xml:space="preserve">A linear mixed model analysis of variance was </w:t>
      </w:r>
      <w:r>
        <w:rPr>
          <w:bCs/>
          <w:color w:val="000000" w:themeColor="text1"/>
        </w:rPr>
        <w:t>then applied for</w:t>
      </w:r>
      <w:r w:rsidRPr="00F4070E">
        <w:rPr>
          <w:bCs/>
          <w:color w:val="000000" w:themeColor="text1"/>
        </w:rPr>
        <w:t xml:space="preserve"> combin</w:t>
      </w:r>
      <w:r>
        <w:rPr>
          <w:bCs/>
          <w:color w:val="000000" w:themeColor="text1"/>
        </w:rPr>
        <w:t>ed</w:t>
      </w:r>
      <w:r w:rsidRPr="00F4070E">
        <w:rPr>
          <w:bCs/>
          <w:color w:val="000000" w:themeColor="text1"/>
        </w:rPr>
        <w:t xml:space="preserve"> data</w:t>
      </w:r>
      <w:r>
        <w:rPr>
          <w:bCs/>
          <w:color w:val="000000" w:themeColor="text1"/>
        </w:rPr>
        <w:t xml:space="preserve">, </w:t>
      </w:r>
      <w:r w:rsidRPr="00F4070E">
        <w:rPr>
          <w:bCs/>
          <w:color w:val="000000" w:themeColor="text1"/>
        </w:rPr>
        <w:t>and locations, co</w:t>
      </w:r>
      <w:r>
        <w:rPr>
          <w:bCs/>
          <w:color w:val="000000" w:themeColor="text1"/>
        </w:rPr>
        <w:t>vering the eight replicated fiel</w:t>
      </w:r>
      <w:r w:rsidRPr="00F4070E">
        <w:rPr>
          <w:bCs/>
          <w:color w:val="000000" w:themeColor="text1"/>
        </w:rPr>
        <w:t>d trial sites</w:t>
      </w:r>
      <w:r>
        <w:rPr>
          <w:bCs/>
          <w:color w:val="000000" w:themeColor="text1"/>
        </w:rPr>
        <w:t>. The mixed model analysis was also applied to the data from</w:t>
      </w:r>
      <w:r w:rsidRPr="00F4070E">
        <w:rPr>
          <w:bCs/>
          <w:color w:val="000000" w:themeColor="text1"/>
        </w:rPr>
        <w:t xml:space="preserve"> each site separately. In assessing the significance of any difference between the mean analyte value for G</w:t>
      </w:r>
      <w:r w:rsidR="00C372AF">
        <w:rPr>
          <w:bCs/>
          <w:color w:val="000000" w:themeColor="text1"/>
        </w:rPr>
        <w:t>MB151</w:t>
      </w:r>
      <w:r w:rsidRPr="00F4070E">
        <w:rPr>
          <w:bCs/>
          <w:color w:val="000000" w:themeColor="text1"/>
        </w:rPr>
        <w:t xml:space="preserve"> and the parental control, a P-value of 0.05 was used.</w:t>
      </w:r>
      <w:r w:rsidRPr="00A41AFA">
        <w:rPr>
          <w:rFonts w:cs="Arial"/>
          <w:szCs w:val="22"/>
        </w:rPr>
        <w:t xml:space="preserve"> </w:t>
      </w:r>
      <w:r>
        <w:rPr>
          <w:lang w:eastAsia="en-AU" w:bidi="ar-SA"/>
        </w:rPr>
        <w:t xml:space="preserve">Where statistically significant differences were observed in the combined data from all sites (presented in </w:t>
      </w:r>
      <w:r w:rsidRPr="0095247C">
        <w:rPr>
          <w:lang w:eastAsia="en-AU" w:bidi="ar-SA"/>
        </w:rPr>
        <w:t>Tables 9-13</w:t>
      </w:r>
      <w:r>
        <w:rPr>
          <w:lang w:eastAsia="en-AU" w:bidi="ar-SA"/>
        </w:rPr>
        <w:t>), analysis of the data from each site was used to determine if the differences were common to the majority of sites.</w:t>
      </w:r>
    </w:p>
    <w:p w14:paraId="77B1D2A5" w14:textId="77777777" w:rsidR="00977222" w:rsidRDefault="00977222" w:rsidP="00977222">
      <w:pPr>
        <w:rPr>
          <w:rFonts w:cs="Arial"/>
          <w:szCs w:val="22"/>
        </w:rPr>
      </w:pPr>
    </w:p>
    <w:p w14:paraId="7BEB02A4" w14:textId="13C43F49" w:rsidR="00977222" w:rsidRDefault="00977222" w:rsidP="00977222">
      <w:pPr>
        <w:rPr>
          <w:rFonts w:cs="Arial"/>
          <w:szCs w:val="22"/>
        </w:rPr>
      </w:pPr>
      <w:r w:rsidRPr="00A41AFA">
        <w:rPr>
          <w:rFonts w:cs="Arial"/>
          <w:szCs w:val="22"/>
        </w:rPr>
        <w:t xml:space="preserve">In order to complete the statistical analysis for any component in this study, it was deemed that </w:t>
      </w:r>
      <w:r>
        <w:rPr>
          <w:rFonts w:cs="Arial"/>
          <w:szCs w:val="22"/>
        </w:rPr>
        <w:t>more than 2/3</w:t>
      </w:r>
      <w:r w:rsidRPr="00F4070E">
        <w:rPr>
          <w:rFonts w:cs="Arial"/>
          <w:szCs w:val="22"/>
          <w:vertAlign w:val="superscript"/>
        </w:rPr>
        <w:t>rd</w:t>
      </w:r>
      <w:r>
        <w:rPr>
          <w:rFonts w:cs="Arial"/>
          <w:szCs w:val="22"/>
        </w:rPr>
        <w:t xml:space="preserve"> </w:t>
      </w:r>
      <w:r w:rsidRPr="00A41AFA">
        <w:rPr>
          <w:rFonts w:cs="Arial"/>
          <w:szCs w:val="22"/>
        </w:rPr>
        <w:t xml:space="preserve">of the values must be greater than the assay LOQ. If analytes had more than </w:t>
      </w:r>
      <w:r>
        <w:rPr>
          <w:rFonts w:cs="Arial"/>
          <w:szCs w:val="22"/>
        </w:rPr>
        <w:t>2/3</w:t>
      </w:r>
      <w:r w:rsidRPr="00F4070E">
        <w:rPr>
          <w:rFonts w:cs="Arial"/>
          <w:szCs w:val="22"/>
          <w:vertAlign w:val="superscript"/>
        </w:rPr>
        <w:t>rd</w:t>
      </w:r>
      <w:r>
        <w:rPr>
          <w:rFonts w:cs="Arial"/>
          <w:szCs w:val="22"/>
        </w:rPr>
        <w:t xml:space="preserve"> </w:t>
      </w:r>
      <w:r w:rsidRPr="00A41AFA">
        <w:rPr>
          <w:rFonts w:cs="Arial"/>
          <w:szCs w:val="22"/>
        </w:rPr>
        <w:t xml:space="preserve">of observations below the LOQ for that assay, they were excluded from the overall summary analysis. </w:t>
      </w:r>
      <w:r>
        <w:rPr>
          <w:rFonts w:cs="Arial"/>
          <w:szCs w:val="22"/>
        </w:rPr>
        <w:t>Values for all components were expressed on a dry weight basis with the exception of moisture, expressed as percent fresh weight, and fatty acids, expressed as percent of total fatty acids.</w:t>
      </w:r>
    </w:p>
    <w:p w14:paraId="01D153C7" w14:textId="77777777" w:rsidR="00977222" w:rsidRPr="00A41AFA" w:rsidRDefault="00977222" w:rsidP="00977222">
      <w:pPr>
        <w:rPr>
          <w:rFonts w:cs="Arial"/>
          <w:szCs w:val="22"/>
        </w:rPr>
      </w:pPr>
      <w:r w:rsidRPr="00A41AFA">
        <w:rPr>
          <w:rFonts w:cs="Arial"/>
          <w:szCs w:val="22"/>
        </w:rPr>
        <w:t xml:space="preserve"> </w:t>
      </w:r>
    </w:p>
    <w:p w14:paraId="427F6365" w14:textId="6CA689A8" w:rsidR="0023686F" w:rsidRDefault="00977222" w:rsidP="00AE0ABC">
      <w:r>
        <w:rPr>
          <w:rFonts w:cs="Arial"/>
          <w:color w:val="000000" w:themeColor="text1"/>
          <w:szCs w:val="22"/>
        </w:rPr>
        <w:t>Compositional data from the non-GM reference varieties grown concurrently in the same trial as G</w:t>
      </w:r>
      <w:r w:rsidR="00C372AF">
        <w:rPr>
          <w:rFonts w:cs="Arial"/>
          <w:color w:val="000000" w:themeColor="text1"/>
          <w:szCs w:val="22"/>
        </w:rPr>
        <w:t xml:space="preserve">MB151 </w:t>
      </w:r>
      <w:r>
        <w:rPr>
          <w:rFonts w:cs="Arial"/>
          <w:color w:val="000000" w:themeColor="text1"/>
          <w:szCs w:val="22"/>
        </w:rPr>
        <w:t xml:space="preserve">and the parental control, were combined across all sites and used to calculate a 99% tolerance interval for each component to define the natural variability in </w:t>
      </w:r>
      <w:r w:rsidR="003F1F24">
        <w:rPr>
          <w:rFonts w:cs="Arial"/>
          <w:color w:val="000000" w:themeColor="text1"/>
          <w:szCs w:val="22"/>
        </w:rPr>
        <w:t>soybean</w:t>
      </w:r>
      <w:r>
        <w:rPr>
          <w:rFonts w:cs="Arial"/>
          <w:color w:val="000000" w:themeColor="text1"/>
          <w:szCs w:val="22"/>
        </w:rPr>
        <w:t xml:space="preserve"> varieties that have a history of safe consumption. </w:t>
      </w:r>
      <w:r w:rsidRPr="009015EA">
        <w:rPr>
          <w:rFonts w:cs="Arial"/>
          <w:color w:val="000000" w:themeColor="text1"/>
          <w:szCs w:val="22"/>
        </w:rPr>
        <w:t xml:space="preserve">Any statistically significant differences between </w:t>
      </w:r>
      <w:r>
        <w:rPr>
          <w:rFonts w:cs="Arial"/>
          <w:color w:val="000000" w:themeColor="text1"/>
          <w:szCs w:val="22"/>
        </w:rPr>
        <w:t>G</w:t>
      </w:r>
      <w:r w:rsidR="00C372AF">
        <w:rPr>
          <w:rFonts w:cs="Arial"/>
          <w:color w:val="000000" w:themeColor="text1"/>
          <w:szCs w:val="22"/>
        </w:rPr>
        <w:t>MB151</w:t>
      </w:r>
      <w:r>
        <w:rPr>
          <w:rFonts w:cs="Arial"/>
          <w:color w:val="000000" w:themeColor="text1"/>
          <w:szCs w:val="22"/>
        </w:rPr>
        <w:t xml:space="preserve"> and the control </w:t>
      </w:r>
      <w:r w:rsidR="00C372AF">
        <w:rPr>
          <w:rFonts w:cs="Arial"/>
          <w:color w:val="000000" w:themeColor="text1"/>
          <w:szCs w:val="22"/>
        </w:rPr>
        <w:t>Thorne</w:t>
      </w:r>
      <w:r>
        <w:rPr>
          <w:rFonts w:cs="Arial"/>
          <w:color w:val="000000" w:themeColor="text1"/>
          <w:szCs w:val="22"/>
        </w:rPr>
        <w:t xml:space="preserve"> </w:t>
      </w:r>
      <w:r w:rsidRPr="009015EA">
        <w:rPr>
          <w:rFonts w:cs="Arial"/>
          <w:color w:val="000000" w:themeColor="text1"/>
          <w:szCs w:val="22"/>
        </w:rPr>
        <w:t>were also compared to th</w:t>
      </w:r>
      <w:r>
        <w:rPr>
          <w:rFonts w:cs="Arial"/>
          <w:color w:val="000000" w:themeColor="text1"/>
          <w:szCs w:val="22"/>
        </w:rPr>
        <w:t>is</w:t>
      </w:r>
      <w:r w:rsidRPr="009015EA">
        <w:rPr>
          <w:rFonts w:cs="Arial"/>
          <w:color w:val="000000" w:themeColor="text1"/>
          <w:szCs w:val="22"/>
        </w:rPr>
        <w:t xml:space="preserve"> tolerance</w:t>
      </w:r>
      <w:r>
        <w:rPr>
          <w:rFonts w:cs="Arial"/>
          <w:color w:val="000000" w:themeColor="text1"/>
          <w:szCs w:val="22"/>
        </w:rPr>
        <w:t xml:space="preserve"> interval</w:t>
      </w:r>
      <w:r w:rsidRPr="009015EA">
        <w:rPr>
          <w:rFonts w:cs="Arial"/>
          <w:color w:val="000000" w:themeColor="text1"/>
          <w:szCs w:val="22"/>
        </w:rPr>
        <w:t xml:space="preserve"> to assess whether the differences were likely to be biologically meaningful.</w:t>
      </w:r>
      <w:r>
        <w:rPr>
          <w:rFonts w:cs="Arial"/>
          <w:color w:val="000000" w:themeColor="text1"/>
          <w:szCs w:val="22"/>
        </w:rPr>
        <w:t xml:space="preserve"> </w:t>
      </w:r>
      <w:bookmarkStart w:id="209" w:name="_Toc454886851"/>
      <w:bookmarkStart w:id="210" w:name="_Toc482255836"/>
      <w:bookmarkStart w:id="211" w:name="_Toc496169803"/>
    </w:p>
    <w:p w14:paraId="64C49E4A" w14:textId="637E892A" w:rsidR="00977222" w:rsidRPr="00DD36BD" w:rsidRDefault="00977222" w:rsidP="008928DE">
      <w:pPr>
        <w:pStyle w:val="Heading2"/>
      </w:pPr>
      <w:bookmarkStart w:id="212" w:name="_Toc34830899"/>
      <w:r w:rsidRPr="00D53E1B">
        <w:t>5.</w:t>
      </w:r>
      <w:r>
        <w:t>3</w:t>
      </w:r>
      <w:r w:rsidRPr="00DD36BD">
        <w:tab/>
        <w:t>Analyses of key components</w:t>
      </w:r>
      <w:bookmarkEnd w:id="209"/>
      <w:bookmarkEnd w:id="210"/>
      <w:r>
        <w:t xml:space="preserve"> in </w:t>
      </w:r>
      <w:r w:rsidR="00C9734B">
        <w:t>soybean</w:t>
      </w:r>
      <w:r>
        <w:t xml:space="preserve"> </w:t>
      </w:r>
      <w:bookmarkEnd w:id="211"/>
      <w:r w:rsidR="00ED65DA">
        <w:t>grain</w:t>
      </w:r>
      <w:bookmarkEnd w:id="212"/>
    </w:p>
    <w:p w14:paraId="65F95718" w14:textId="77777777" w:rsidR="00977222" w:rsidRPr="00DC0431" w:rsidRDefault="00977222" w:rsidP="00221257">
      <w:pPr>
        <w:pStyle w:val="Heading3"/>
      </w:pPr>
      <w:bookmarkStart w:id="213" w:name="_Toc482255837"/>
      <w:bookmarkStart w:id="214" w:name="_Toc491439850"/>
      <w:bookmarkStart w:id="215" w:name="_Toc493515881"/>
      <w:bookmarkStart w:id="216" w:name="_Toc495489351"/>
      <w:bookmarkStart w:id="217" w:name="_Toc496169804"/>
      <w:r w:rsidRPr="00D53E1B">
        <w:t>5.3.1</w:t>
      </w:r>
      <w:r>
        <w:tab/>
      </w:r>
      <w:bookmarkEnd w:id="213"/>
      <w:r>
        <w:t>Proximates and fibre</w:t>
      </w:r>
      <w:bookmarkEnd w:id="214"/>
      <w:bookmarkEnd w:id="215"/>
      <w:bookmarkEnd w:id="216"/>
      <w:bookmarkEnd w:id="217"/>
    </w:p>
    <w:p w14:paraId="298F283C" w14:textId="3720E8A2" w:rsidR="00977222" w:rsidRDefault="00977222" w:rsidP="00977222">
      <w:pPr>
        <w:rPr>
          <w:color w:val="000000" w:themeColor="text1"/>
        </w:rPr>
      </w:pPr>
      <w:r>
        <w:rPr>
          <w:color w:val="000000" w:themeColor="text1"/>
        </w:rPr>
        <w:t xml:space="preserve">Analysis </w:t>
      </w:r>
      <w:r w:rsidRPr="00125405">
        <w:rPr>
          <w:color w:val="000000" w:themeColor="text1"/>
        </w:rPr>
        <w:t>of the proximate</w:t>
      </w:r>
      <w:r>
        <w:rPr>
          <w:color w:val="000000" w:themeColor="text1"/>
        </w:rPr>
        <w:t xml:space="preserve"> and fibre levels</w:t>
      </w:r>
      <w:r w:rsidRPr="00125405">
        <w:rPr>
          <w:color w:val="000000" w:themeColor="text1"/>
        </w:rPr>
        <w:t xml:space="preserve"> </w:t>
      </w:r>
      <w:r>
        <w:rPr>
          <w:color w:val="000000" w:themeColor="text1"/>
        </w:rPr>
        <w:t>in both untreated and treated G</w:t>
      </w:r>
      <w:r w:rsidR="00C9734B">
        <w:rPr>
          <w:color w:val="000000" w:themeColor="text1"/>
        </w:rPr>
        <w:t>M</w:t>
      </w:r>
      <w:r>
        <w:rPr>
          <w:color w:val="000000" w:themeColor="text1"/>
        </w:rPr>
        <w:t>B</w:t>
      </w:r>
      <w:r w:rsidR="00C9734B">
        <w:rPr>
          <w:color w:val="000000" w:themeColor="text1"/>
        </w:rPr>
        <w:t>151</w:t>
      </w:r>
      <w:r>
        <w:rPr>
          <w:color w:val="000000" w:themeColor="text1"/>
        </w:rPr>
        <w:t xml:space="preserve"> compared to the parental control (</w:t>
      </w:r>
      <w:hyperlink w:anchor="Table9" w:history="1">
        <w:r w:rsidRPr="00666F68">
          <w:rPr>
            <w:rStyle w:val="Hyperlink"/>
          </w:rPr>
          <w:t>Table 9</w:t>
        </w:r>
      </w:hyperlink>
      <w:r>
        <w:rPr>
          <w:color w:val="000000" w:themeColor="text1"/>
        </w:rPr>
        <w:t xml:space="preserve">), showed statistically significant differences in </w:t>
      </w:r>
      <w:r w:rsidR="00B53A1F">
        <w:rPr>
          <w:color w:val="000000" w:themeColor="text1"/>
        </w:rPr>
        <w:t>moisture, carbohydrate and crude protein</w:t>
      </w:r>
      <w:r>
        <w:rPr>
          <w:color w:val="000000" w:themeColor="text1"/>
        </w:rPr>
        <w:t xml:space="preserve">. There was also a statistically significant difference in the neutral detergent fibre content between the treated </w:t>
      </w:r>
      <w:r w:rsidR="00B53A1F">
        <w:rPr>
          <w:color w:val="000000" w:themeColor="text1"/>
        </w:rPr>
        <w:t>GMB151</w:t>
      </w:r>
      <w:r>
        <w:rPr>
          <w:color w:val="000000" w:themeColor="text1"/>
        </w:rPr>
        <w:t xml:space="preserve"> and parental control. While there was a statistically significant change, the magnitude of these differences was actually small (~</w:t>
      </w:r>
      <w:r w:rsidR="00B53A1F">
        <w:rPr>
          <w:color w:val="000000" w:themeColor="text1"/>
        </w:rPr>
        <w:t>1.7-7.4</w:t>
      </w:r>
      <w:r>
        <w:rPr>
          <w:color w:val="000000" w:themeColor="text1"/>
        </w:rPr>
        <w:t xml:space="preserve">%) and the mean levels fall within the </w:t>
      </w:r>
      <w:r w:rsidR="002216B8">
        <w:rPr>
          <w:color w:val="000000" w:themeColor="text1"/>
        </w:rPr>
        <w:t xml:space="preserve">reference ranges and </w:t>
      </w:r>
      <w:r>
        <w:rPr>
          <w:color w:val="000000" w:themeColor="text1"/>
        </w:rPr>
        <w:t>tolerance interval, indicating that the differences are not biologically significant.</w:t>
      </w:r>
    </w:p>
    <w:p w14:paraId="74074A94" w14:textId="77777777" w:rsidR="00977222" w:rsidRDefault="00977222" w:rsidP="00977222">
      <w:pPr>
        <w:rPr>
          <w:color w:val="000000" w:themeColor="text1"/>
        </w:rPr>
      </w:pPr>
    </w:p>
    <w:p w14:paraId="56C5063A" w14:textId="77777777" w:rsidR="00977222" w:rsidRDefault="00977222" w:rsidP="00977222">
      <w:pPr>
        <w:pStyle w:val="FSTableTitle"/>
        <w:spacing w:after="120"/>
      </w:pPr>
      <w:bookmarkStart w:id="218" w:name="Table9"/>
      <w:r>
        <w:t>Table 9</w:t>
      </w:r>
      <w:bookmarkEnd w:id="218"/>
      <w:r>
        <w:t xml:space="preserve">: </w:t>
      </w:r>
      <w:r w:rsidRPr="00827952">
        <w:t>Comparison of Proximates and Fib</w:t>
      </w:r>
      <w:r>
        <w:t>re (% DW)</w:t>
      </w:r>
    </w:p>
    <w:tbl>
      <w:tblPr>
        <w:tblStyle w:val="TableGrid"/>
        <w:tblW w:w="0" w:type="auto"/>
        <w:tblLayout w:type="fixed"/>
        <w:tblLook w:val="04A0" w:firstRow="1" w:lastRow="0" w:firstColumn="1" w:lastColumn="0" w:noHBand="0" w:noVBand="1"/>
        <w:tblCaption w:val="Table 9"/>
        <w:tblDescription w:val="Comparison of proximates and fibre"/>
      </w:tblPr>
      <w:tblGrid>
        <w:gridCol w:w="2068"/>
        <w:gridCol w:w="1412"/>
        <w:gridCol w:w="1413"/>
        <w:gridCol w:w="1413"/>
        <w:gridCol w:w="1256"/>
        <w:gridCol w:w="1498"/>
      </w:tblGrid>
      <w:tr w:rsidR="00977222" w14:paraId="5926F4E6" w14:textId="77777777" w:rsidTr="00EC2811">
        <w:trPr>
          <w:trHeight w:val="737"/>
        </w:trPr>
        <w:tc>
          <w:tcPr>
            <w:tcW w:w="2068" w:type="dxa"/>
            <w:vMerge w:val="restart"/>
            <w:tcBorders>
              <w:top w:val="nil"/>
              <w:left w:val="nil"/>
              <w:bottom w:val="nil"/>
              <w:right w:val="nil"/>
            </w:tcBorders>
            <w:shd w:val="clear" w:color="auto" w:fill="7F7F7F" w:themeFill="text1" w:themeFillTint="80"/>
            <w:vAlign w:val="center"/>
          </w:tcPr>
          <w:p w14:paraId="5F8CBFA7" w14:textId="77777777" w:rsidR="00977222" w:rsidRPr="00EC2811" w:rsidRDefault="00977222" w:rsidP="006E49E2">
            <w:pPr>
              <w:rPr>
                <w:rFonts w:cs="Arial"/>
                <w:b/>
                <w:color w:val="FFFFFF" w:themeColor="background1"/>
                <w:sz w:val="20"/>
                <w:szCs w:val="20"/>
              </w:rPr>
            </w:pPr>
            <w:r w:rsidRPr="00EC2811">
              <w:rPr>
                <w:rFonts w:cs="Arial"/>
                <w:b/>
                <w:color w:val="FFFFFF" w:themeColor="background1"/>
                <w:sz w:val="20"/>
                <w:szCs w:val="20"/>
              </w:rPr>
              <w:t>Parameter</w:t>
            </w:r>
          </w:p>
        </w:tc>
        <w:tc>
          <w:tcPr>
            <w:tcW w:w="1412" w:type="dxa"/>
            <w:tcBorders>
              <w:top w:val="nil"/>
              <w:left w:val="nil"/>
              <w:bottom w:val="nil"/>
              <w:right w:val="nil"/>
            </w:tcBorders>
            <w:shd w:val="clear" w:color="auto" w:fill="7F7F7F" w:themeFill="text1" w:themeFillTint="80"/>
            <w:vAlign w:val="center"/>
          </w:tcPr>
          <w:p w14:paraId="35A148AE" w14:textId="77777777" w:rsidR="00977222" w:rsidRPr="00EC2811" w:rsidRDefault="00977222" w:rsidP="006E49E2">
            <w:pPr>
              <w:jc w:val="center"/>
              <w:rPr>
                <w:rFonts w:cs="Arial"/>
                <w:b/>
                <w:color w:val="FFFFFF" w:themeColor="background1"/>
                <w:sz w:val="20"/>
                <w:szCs w:val="20"/>
              </w:rPr>
            </w:pPr>
            <w:r w:rsidRPr="00EC2811">
              <w:rPr>
                <w:rFonts w:cs="Arial"/>
                <w:b/>
                <w:color w:val="FFFFFF" w:themeColor="background1"/>
                <w:sz w:val="20"/>
                <w:szCs w:val="20"/>
              </w:rPr>
              <w:t>Non-GM counterpart</w:t>
            </w:r>
          </w:p>
        </w:tc>
        <w:tc>
          <w:tcPr>
            <w:tcW w:w="1413" w:type="dxa"/>
            <w:tcBorders>
              <w:top w:val="nil"/>
              <w:left w:val="nil"/>
              <w:bottom w:val="nil"/>
              <w:right w:val="nil"/>
            </w:tcBorders>
            <w:shd w:val="clear" w:color="auto" w:fill="7F7F7F" w:themeFill="text1" w:themeFillTint="80"/>
            <w:vAlign w:val="center"/>
          </w:tcPr>
          <w:p w14:paraId="076DFAFB" w14:textId="4A8EF8F2" w:rsidR="00977222" w:rsidRPr="00EC2811" w:rsidRDefault="00977222" w:rsidP="00C9734B">
            <w:pPr>
              <w:jc w:val="center"/>
              <w:rPr>
                <w:rFonts w:cs="Arial"/>
                <w:b/>
                <w:color w:val="FFFFFF" w:themeColor="background1"/>
                <w:sz w:val="20"/>
                <w:szCs w:val="20"/>
              </w:rPr>
            </w:pPr>
            <w:r w:rsidRPr="00EC2811">
              <w:rPr>
                <w:rFonts w:cs="Arial"/>
                <w:b/>
                <w:color w:val="FFFFFF" w:themeColor="background1"/>
                <w:sz w:val="20"/>
                <w:szCs w:val="20"/>
              </w:rPr>
              <w:t>G</w:t>
            </w:r>
            <w:r w:rsidR="00C9734B" w:rsidRPr="00EC2811">
              <w:rPr>
                <w:rFonts w:cs="Arial"/>
                <w:b/>
                <w:color w:val="FFFFFF" w:themeColor="background1"/>
                <w:sz w:val="20"/>
                <w:szCs w:val="20"/>
              </w:rPr>
              <w:t>MB151</w:t>
            </w:r>
            <w:r w:rsidRPr="00EC2811">
              <w:rPr>
                <w:rFonts w:cs="Arial"/>
                <w:b/>
                <w:color w:val="FFFFFF" w:themeColor="background1"/>
                <w:sz w:val="20"/>
                <w:szCs w:val="20"/>
              </w:rPr>
              <w:t xml:space="preserve"> untreated</w:t>
            </w:r>
          </w:p>
        </w:tc>
        <w:tc>
          <w:tcPr>
            <w:tcW w:w="1413" w:type="dxa"/>
            <w:tcBorders>
              <w:top w:val="nil"/>
              <w:left w:val="nil"/>
              <w:bottom w:val="nil"/>
              <w:right w:val="nil"/>
            </w:tcBorders>
            <w:shd w:val="clear" w:color="auto" w:fill="7F7F7F" w:themeFill="text1" w:themeFillTint="80"/>
            <w:vAlign w:val="center"/>
          </w:tcPr>
          <w:p w14:paraId="21421267" w14:textId="5B64B5A8" w:rsidR="00977222" w:rsidRPr="00EC2811" w:rsidRDefault="00977222" w:rsidP="00C9734B">
            <w:pPr>
              <w:jc w:val="center"/>
              <w:rPr>
                <w:rFonts w:cs="Arial"/>
                <w:b/>
                <w:color w:val="FFFFFF" w:themeColor="background1"/>
                <w:sz w:val="20"/>
                <w:szCs w:val="20"/>
              </w:rPr>
            </w:pPr>
            <w:r w:rsidRPr="00EC2811">
              <w:rPr>
                <w:rFonts w:cs="Arial"/>
                <w:b/>
                <w:color w:val="FFFFFF" w:themeColor="background1"/>
                <w:sz w:val="20"/>
                <w:szCs w:val="20"/>
              </w:rPr>
              <w:t>G</w:t>
            </w:r>
            <w:r w:rsidR="00C9734B" w:rsidRPr="00EC2811">
              <w:rPr>
                <w:rFonts w:cs="Arial"/>
                <w:b/>
                <w:color w:val="FFFFFF" w:themeColor="background1"/>
                <w:sz w:val="20"/>
                <w:szCs w:val="20"/>
              </w:rPr>
              <w:t xml:space="preserve">MB151 </w:t>
            </w:r>
            <w:r w:rsidRPr="00EC2811">
              <w:rPr>
                <w:rFonts w:cs="Arial"/>
                <w:b/>
                <w:color w:val="FFFFFF" w:themeColor="background1"/>
                <w:sz w:val="20"/>
                <w:szCs w:val="20"/>
              </w:rPr>
              <w:t>treated</w:t>
            </w:r>
          </w:p>
        </w:tc>
        <w:tc>
          <w:tcPr>
            <w:tcW w:w="1256" w:type="dxa"/>
            <w:tcBorders>
              <w:top w:val="nil"/>
              <w:left w:val="nil"/>
              <w:bottom w:val="nil"/>
              <w:right w:val="nil"/>
            </w:tcBorders>
            <w:shd w:val="clear" w:color="auto" w:fill="7F7F7F" w:themeFill="text1" w:themeFillTint="80"/>
            <w:vAlign w:val="center"/>
          </w:tcPr>
          <w:p w14:paraId="7EC8BB20" w14:textId="77777777" w:rsidR="00977222" w:rsidRPr="00EC2811" w:rsidRDefault="00977222" w:rsidP="006E49E2">
            <w:pPr>
              <w:jc w:val="center"/>
              <w:rPr>
                <w:rFonts w:cs="Arial"/>
                <w:b/>
                <w:color w:val="FFFFFF" w:themeColor="background1"/>
                <w:sz w:val="20"/>
                <w:szCs w:val="20"/>
              </w:rPr>
            </w:pPr>
            <w:r w:rsidRPr="00EC2811">
              <w:rPr>
                <w:rFonts w:cs="Arial"/>
                <w:b/>
                <w:color w:val="FFFFFF" w:themeColor="background1"/>
                <w:sz w:val="20"/>
                <w:szCs w:val="20"/>
              </w:rPr>
              <w:t>Non-GM reference varieties</w:t>
            </w:r>
          </w:p>
        </w:tc>
        <w:tc>
          <w:tcPr>
            <w:tcW w:w="1498" w:type="dxa"/>
            <w:tcBorders>
              <w:top w:val="nil"/>
              <w:left w:val="nil"/>
              <w:bottom w:val="nil"/>
              <w:right w:val="nil"/>
            </w:tcBorders>
            <w:shd w:val="clear" w:color="auto" w:fill="7F7F7F" w:themeFill="text1" w:themeFillTint="80"/>
            <w:vAlign w:val="center"/>
          </w:tcPr>
          <w:p w14:paraId="75BFC64A" w14:textId="77777777" w:rsidR="00977222" w:rsidRPr="00EC2811" w:rsidRDefault="00977222" w:rsidP="006E49E2">
            <w:pPr>
              <w:jc w:val="center"/>
              <w:rPr>
                <w:rFonts w:cs="Arial"/>
                <w:b/>
                <w:color w:val="FFFFFF" w:themeColor="background1"/>
                <w:sz w:val="20"/>
                <w:szCs w:val="20"/>
              </w:rPr>
            </w:pPr>
            <w:r w:rsidRPr="00EC2811">
              <w:rPr>
                <w:rFonts w:cs="Arial"/>
                <w:b/>
                <w:color w:val="FFFFFF" w:themeColor="background1"/>
                <w:sz w:val="20"/>
                <w:szCs w:val="20"/>
              </w:rPr>
              <w:t>Tolerance Interval</w:t>
            </w:r>
          </w:p>
        </w:tc>
      </w:tr>
      <w:tr w:rsidR="00977222" w14:paraId="6B903AF9" w14:textId="77777777" w:rsidTr="00EC2811">
        <w:trPr>
          <w:trHeight w:val="283"/>
        </w:trPr>
        <w:tc>
          <w:tcPr>
            <w:tcW w:w="2068" w:type="dxa"/>
            <w:vMerge/>
            <w:tcBorders>
              <w:top w:val="nil"/>
              <w:left w:val="nil"/>
              <w:bottom w:val="nil"/>
              <w:right w:val="nil"/>
            </w:tcBorders>
            <w:shd w:val="clear" w:color="auto" w:fill="7F7F7F" w:themeFill="text1" w:themeFillTint="80"/>
          </w:tcPr>
          <w:p w14:paraId="468E0AAC" w14:textId="77777777" w:rsidR="00977222" w:rsidRPr="00EC2811" w:rsidRDefault="00977222" w:rsidP="006E49E2">
            <w:pPr>
              <w:rPr>
                <w:rFonts w:cs="Arial"/>
                <w:b/>
                <w:color w:val="FFFFFF" w:themeColor="background1"/>
                <w:sz w:val="20"/>
                <w:szCs w:val="20"/>
              </w:rPr>
            </w:pPr>
          </w:p>
        </w:tc>
        <w:tc>
          <w:tcPr>
            <w:tcW w:w="1412" w:type="dxa"/>
            <w:tcBorders>
              <w:top w:val="nil"/>
              <w:left w:val="nil"/>
              <w:bottom w:val="nil"/>
              <w:right w:val="nil"/>
            </w:tcBorders>
            <w:shd w:val="clear" w:color="auto" w:fill="7F7F7F" w:themeFill="text1" w:themeFillTint="80"/>
            <w:vAlign w:val="center"/>
          </w:tcPr>
          <w:p w14:paraId="523C50A2" w14:textId="77777777" w:rsidR="00977222" w:rsidRPr="00EC2811" w:rsidRDefault="00977222" w:rsidP="006E49E2">
            <w:pPr>
              <w:jc w:val="center"/>
              <w:rPr>
                <w:rFonts w:cs="Arial"/>
                <w:b/>
                <w:color w:val="FFFFFF" w:themeColor="background1"/>
                <w:sz w:val="20"/>
                <w:szCs w:val="20"/>
              </w:rPr>
            </w:pPr>
            <w:r w:rsidRPr="00EC2811">
              <w:rPr>
                <w:rFonts w:cs="Arial"/>
                <w:b/>
                <w:color w:val="FFFFFF" w:themeColor="background1"/>
                <w:sz w:val="20"/>
                <w:szCs w:val="20"/>
              </w:rPr>
              <w:t>Mean ± SD</w:t>
            </w:r>
          </w:p>
        </w:tc>
        <w:tc>
          <w:tcPr>
            <w:tcW w:w="1413" w:type="dxa"/>
            <w:tcBorders>
              <w:top w:val="nil"/>
              <w:left w:val="nil"/>
              <w:bottom w:val="nil"/>
              <w:right w:val="nil"/>
            </w:tcBorders>
            <w:shd w:val="clear" w:color="auto" w:fill="7F7F7F" w:themeFill="text1" w:themeFillTint="80"/>
            <w:vAlign w:val="center"/>
          </w:tcPr>
          <w:p w14:paraId="6EEE431F" w14:textId="77777777" w:rsidR="00977222" w:rsidRPr="00EC2811" w:rsidRDefault="00977222" w:rsidP="006E49E2">
            <w:pPr>
              <w:jc w:val="center"/>
              <w:rPr>
                <w:rFonts w:cs="Arial"/>
                <w:b/>
                <w:color w:val="FFFFFF" w:themeColor="background1"/>
                <w:sz w:val="20"/>
                <w:szCs w:val="20"/>
              </w:rPr>
            </w:pPr>
            <w:r w:rsidRPr="00EC2811">
              <w:rPr>
                <w:rFonts w:cs="Arial"/>
                <w:b/>
                <w:color w:val="FFFFFF" w:themeColor="background1"/>
                <w:sz w:val="20"/>
                <w:szCs w:val="20"/>
              </w:rPr>
              <w:t>Mean ± SD</w:t>
            </w:r>
          </w:p>
        </w:tc>
        <w:tc>
          <w:tcPr>
            <w:tcW w:w="1413" w:type="dxa"/>
            <w:tcBorders>
              <w:top w:val="nil"/>
              <w:left w:val="nil"/>
              <w:bottom w:val="nil"/>
              <w:right w:val="nil"/>
            </w:tcBorders>
            <w:shd w:val="clear" w:color="auto" w:fill="7F7F7F" w:themeFill="text1" w:themeFillTint="80"/>
            <w:vAlign w:val="center"/>
          </w:tcPr>
          <w:p w14:paraId="4591E829" w14:textId="77777777" w:rsidR="00977222" w:rsidRPr="00EC2811" w:rsidRDefault="00977222" w:rsidP="006E49E2">
            <w:pPr>
              <w:jc w:val="center"/>
              <w:rPr>
                <w:rFonts w:cs="Arial"/>
                <w:b/>
                <w:color w:val="FFFFFF" w:themeColor="background1"/>
                <w:sz w:val="20"/>
                <w:szCs w:val="20"/>
              </w:rPr>
            </w:pPr>
            <w:r w:rsidRPr="00EC2811">
              <w:rPr>
                <w:rFonts w:cs="Arial"/>
                <w:b/>
                <w:color w:val="FFFFFF" w:themeColor="background1"/>
                <w:sz w:val="20"/>
                <w:szCs w:val="20"/>
              </w:rPr>
              <w:t>Mean ± SD</w:t>
            </w:r>
          </w:p>
        </w:tc>
        <w:tc>
          <w:tcPr>
            <w:tcW w:w="1256" w:type="dxa"/>
            <w:tcBorders>
              <w:top w:val="nil"/>
              <w:left w:val="nil"/>
              <w:bottom w:val="nil"/>
              <w:right w:val="nil"/>
            </w:tcBorders>
            <w:shd w:val="clear" w:color="auto" w:fill="7F7F7F" w:themeFill="text1" w:themeFillTint="80"/>
            <w:vAlign w:val="center"/>
          </w:tcPr>
          <w:p w14:paraId="098435F4" w14:textId="77777777" w:rsidR="00977222" w:rsidRPr="00EC2811" w:rsidRDefault="00977222" w:rsidP="006E49E2">
            <w:pPr>
              <w:jc w:val="center"/>
              <w:rPr>
                <w:rFonts w:cs="Arial"/>
                <w:b/>
                <w:color w:val="FFFFFF" w:themeColor="background1"/>
                <w:sz w:val="20"/>
                <w:szCs w:val="20"/>
              </w:rPr>
            </w:pPr>
            <w:r w:rsidRPr="00EC2811">
              <w:rPr>
                <w:rFonts w:cs="Arial"/>
                <w:b/>
                <w:color w:val="FFFFFF" w:themeColor="background1"/>
                <w:sz w:val="20"/>
                <w:szCs w:val="20"/>
              </w:rPr>
              <w:t>Min-max</w:t>
            </w:r>
          </w:p>
        </w:tc>
        <w:tc>
          <w:tcPr>
            <w:tcW w:w="1498" w:type="dxa"/>
            <w:tcBorders>
              <w:top w:val="nil"/>
              <w:left w:val="nil"/>
              <w:bottom w:val="nil"/>
              <w:right w:val="nil"/>
            </w:tcBorders>
            <w:shd w:val="clear" w:color="auto" w:fill="7F7F7F" w:themeFill="text1" w:themeFillTint="80"/>
            <w:vAlign w:val="center"/>
          </w:tcPr>
          <w:p w14:paraId="301688F0" w14:textId="77777777" w:rsidR="00977222" w:rsidRPr="00EC2811" w:rsidRDefault="00977222" w:rsidP="006E49E2">
            <w:pPr>
              <w:jc w:val="center"/>
              <w:rPr>
                <w:rFonts w:cs="Arial"/>
                <w:b/>
                <w:color w:val="FFFFFF" w:themeColor="background1"/>
                <w:sz w:val="20"/>
                <w:szCs w:val="20"/>
              </w:rPr>
            </w:pPr>
            <w:r w:rsidRPr="00EC2811">
              <w:rPr>
                <w:rFonts w:cs="Arial"/>
                <w:b/>
                <w:color w:val="FFFFFF" w:themeColor="background1"/>
                <w:sz w:val="20"/>
                <w:szCs w:val="20"/>
              </w:rPr>
              <w:t>lower-upper</w:t>
            </w:r>
          </w:p>
        </w:tc>
      </w:tr>
      <w:tr w:rsidR="00F3692E" w14:paraId="707593FA" w14:textId="77777777" w:rsidTr="0076249A">
        <w:trPr>
          <w:trHeight w:val="340"/>
        </w:trPr>
        <w:tc>
          <w:tcPr>
            <w:tcW w:w="2068" w:type="dxa"/>
            <w:tcBorders>
              <w:top w:val="nil"/>
              <w:left w:val="nil"/>
              <w:bottom w:val="nil"/>
              <w:right w:val="nil"/>
            </w:tcBorders>
            <w:vAlign w:val="center"/>
          </w:tcPr>
          <w:p w14:paraId="17334FDB" w14:textId="26444A03" w:rsidR="00F3692E" w:rsidRPr="0038600B" w:rsidRDefault="00F3692E" w:rsidP="00F3692E">
            <w:pPr>
              <w:rPr>
                <w:rFonts w:cs="Arial"/>
                <w:color w:val="000000" w:themeColor="text1"/>
                <w:sz w:val="20"/>
                <w:szCs w:val="20"/>
              </w:rPr>
            </w:pPr>
            <w:r w:rsidRPr="0038600B">
              <w:rPr>
                <w:rFonts w:cs="Arial"/>
                <w:color w:val="000000" w:themeColor="text1"/>
                <w:sz w:val="20"/>
                <w:szCs w:val="20"/>
              </w:rPr>
              <w:t>M</w:t>
            </w:r>
            <w:r>
              <w:rPr>
                <w:rFonts w:cs="Arial"/>
                <w:color w:val="000000" w:themeColor="text1"/>
                <w:sz w:val="20"/>
                <w:szCs w:val="20"/>
              </w:rPr>
              <w:t>oisture</w:t>
            </w:r>
            <w:r w:rsidRPr="002422EA">
              <w:rPr>
                <w:rFonts w:cs="Arial"/>
                <w:color w:val="000000" w:themeColor="text1"/>
                <w:sz w:val="20"/>
                <w:szCs w:val="20"/>
                <w:vertAlign w:val="superscript"/>
              </w:rPr>
              <w:t>1</w:t>
            </w:r>
          </w:p>
        </w:tc>
        <w:tc>
          <w:tcPr>
            <w:tcW w:w="1412" w:type="dxa"/>
            <w:tcBorders>
              <w:top w:val="nil"/>
              <w:left w:val="nil"/>
              <w:bottom w:val="nil"/>
              <w:right w:val="nil"/>
            </w:tcBorders>
            <w:shd w:val="clear" w:color="auto" w:fill="auto"/>
            <w:vAlign w:val="center"/>
          </w:tcPr>
          <w:p w14:paraId="268B3F87" w14:textId="5305C3AE" w:rsidR="00F3692E" w:rsidRPr="00C90A05" w:rsidRDefault="00F3692E" w:rsidP="00F3692E">
            <w:pPr>
              <w:jc w:val="center"/>
              <w:rPr>
                <w:rFonts w:cs="Arial"/>
                <w:color w:val="000000" w:themeColor="text1"/>
                <w:sz w:val="18"/>
                <w:szCs w:val="20"/>
              </w:rPr>
            </w:pPr>
            <w:r w:rsidRPr="00C90A05">
              <w:rPr>
                <w:rFonts w:cs="Arial"/>
                <w:color w:val="000000" w:themeColor="text1"/>
                <w:sz w:val="18"/>
                <w:szCs w:val="20"/>
              </w:rPr>
              <w:t>12.2 ± 2.70</w:t>
            </w:r>
          </w:p>
        </w:tc>
        <w:tc>
          <w:tcPr>
            <w:tcW w:w="1413" w:type="dxa"/>
            <w:tcBorders>
              <w:top w:val="nil"/>
              <w:left w:val="nil"/>
              <w:bottom w:val="nil"/>
              <w:right w:val="nil"/>
            </w:tcBorders>
            <w:shd w:val="clear" w:color="auto" w:fill="C6D9F1" w:themeFill="text2" w:themeFillTint="33"/>
            <w:vAlign w:val="center"/>
          </w:tcPr>
          <w:p w14:paraId="4710F602" w14:textId="325F3562" w:rsidR="00F3692E" w:rsidRPr="00C90A05" w:rsidRDefault="00F3692E" w:rsidP="00F3692E">
            <w:pPr>
              <w:jc w:val="center"/>
              <w:rPr>
                <w:rFonts w:cs="Arial"/>
                <w:color w:val="000000" w:themeColor="text1"/>
                <w:sz w:val="18"/>
                <w:szCs w:val="20"/>
              </w:rPr>
            </w:pPr>
            <w:r w:rsidRPr="00C90A05">
              <w:rPr>
                <w:sz w:val="18"/>
              </w:rPr>
              <w:t>11.5 ± 2.33</w:t>
            </w:r>
            <w:r w:rsidR="00C90A05" w:rsidRPr="00C90A05">
              <w:rPr>
                <w:sz w:val="18"/>
                <w:vertAlign w:val="superscript"/>
              </w:rPr>
              <w:t>2</w:t>
            </w:r>
          </w:p>
        </w:tc>
        <w:tc>
          <w:tcPr>
            <w:tcW w:w="1413" w:type="dxa"/>
            <w:tcBorders>
              <w:top w:val="nil"/>
              <w:left w:val="nil"/>
              <w:bottom w:val="nil"/>
              <w:right w:val="nil"/>
            </w:tcBorders>
            <w:shd w:val="clear" w:color="auto" w:fill="C6D9F1" w:themeFill="text2" w:themeFillTint="33"/>
            <w:vAlign w:val="center"/>
          </w:tcPr>
          <w:p w14:paraId="70BA8E01" w14:textId="28A68D15" w:rsidR="00F3692E" w:rsidRPr="00C90A05" w:rsidRDefault="00F3692E" w:rsidP="00F3692E">
            <w:pPr>
              <w:jc w:val="center"/>
              <w:rPr>
                <w:rFonts w:cs="Arial"/>
                <w:color w:val="000000" w:themeColor="text1"/>
                <w:sz w:val="18"/>
                <w:szCs w:val="20"/>
              </w:rPr>
            </w:pPr>
            <w:r w:rsidRPr="00C90A05">
              <w:rPr>
                <w:sz w:val="18"/>
              </w:rPr>
              <w:t>11.3 ± 2.30</w:t>
            </w:r>
          </w:p>
        </w:tc>
        <w:tc>
          <w:tcPr>
            <w:tcW w:w="1256" w:type="dxa"/>
            <w:tcBorders>
              <w:top w:val="nil"/>
              <w:left w:val="nil"/>
              <w:bottom w:val="nil"/>
              <w:right w:val="nil"/>
            </w:tcBorders>
            <w:shd w:val="clear" w:color="auto" w:fill="auto"/>
            <w:vAlign w:val="center"/>
          </w:tcPr>
          <w:p w14:paraId="3FE6B00E" w14:textId="520A5236" w:rsidR="00F3692E" w:rsidRPr="00C90A05" w:rsidRDefault="00F3692E" w:rsidP="00F3692E">
            <w:pPr>
              <w:jc w:val="center"/>
              <w:rPr>
                <w:rFonts w:cs="Arial"/>
                <w:color w:val="000000" w:themeColor="text1"/>
                <w:sz w:val="18"/>
                <w:szCs w:val="20"/>
              </w:rPr>
            </w:pPr>
            <w:r w:rsidRPr="00C90A05">
              <w:rPr>
                <w:sz w:val="18"/>
              </w:rPr>
              <w:t>8.9 - 19.4</w:t>
            </w:r>
          </w:p>
        </w:tc>
        <w:tc>
          <w:tcPr>
            <w:tcW w:w="1498" w:type="dxa"/>
            <w:tcBorders>
              <w:top w:val="nil"/>
              <w:left w:val="nil"/>
              <w:bottom w:val="nil"/>
              <w:right w:val="nil"/>
            </w:tcBorders>
            <w:shd w:val="clear" w:color="auto" w:fill="auto"/>
            <w:vAlign w:val="center"/>
          </w:tcPr>
          <w:p w14:paraId="0FFCCDF3" w14:textId="065C8418" w:rsidR="00F3692E" w:rsidRPr="00C90A05" w:rsidRDefault="00F3692E" w:rsidP="00F3692E">
            <w:pPr>
              <w:jc w:val="center"/>
              <w:rPr>
                <w:rFonts w:cs="Arial"/>
                <w:color w:val="000000" w:themeColor="text1"/>
                <w:sz w:val="18"/>
                <w:szCs w:val="20"/>
              </w:rPr>
            </w:pPr>
            <w:r w:rsidRPr="00C90A05">
              <w:rPr>
                <w:sz w:val="18"/>
              </w:rPr>
              <w:t>4.0 - 19.7</w:t>
            </w:r>
          </w:p>
        </w:tc>
      </w:tr>
      <w:tr w:rsidR="00F3692E" w14:paraId="15BD5EFE" w14:textId="77777777" w:rsidTr="0076249A">
        <w:trPr>
          <w:trHeight w:val="340"/>
        </w:trPr>
        <w:tc>
          <w:tcPr>
            <w:tcW w:w="2068" w:type="dxa"/>
            <w:tcBorders>
              <w:top w:val="nil"/>
              <w:left w:val="nil"/>
              <w:bottom w:val="nil"/>
              <w:right w:val="nil"/>
            </w:tcBorders>
            <w:shd w:val="clear" w:color="auto" w:fill="D9D9D9" w:themeFill="background1" w:themeFillShade="D9"/>
            <w:vAlign w:val="center"/>
          </w:tcPr>
          <w:p w14:paraId="69BAE091" w14:textId="52C90F4B" w:rsidR="00F3692E" w:rsidRPr="0038600B" w:rsidRDefault="00F3692E" w:rsidP="00F3692E">
            <w:pPr>
              <w:rPr>
                <w:rFonts w:cs="Arial"/>
                <w:color w:val="000000" w:themeColor="text1"/>
                <w:sz w:val="20"/>
                <w:szCs w:val="20"/>
              </w:rPr>
            </w:pPr>
            <w:r>
              <w:rPr>
                <w:rFonts w:cs="Arial"/>
                <w:color w:val="000000" w:themeColor="text1"/>
                <w:sz w:val="20"/>
                <w:szCs w:val="20"/>
              </w:rPr>
              <w:t>Ash</w:t>
            </w:r>
          </w:p>
        </w:tc>
        <w:tc>
          <w:tcPr>
            <w:tcW w:w="1412" w:type="dxa"/>
            <w:tcBorders>
              <w:top w:val="nil"/>
              <w:left w:val="nil"/>
              <w:bottom w:val="nil"/>
              <w:right w:val="nil"/>
            </w:tcBorders>
            <w:shd w:val="clear" w:color="auto" w:fill="D9D9D9" w:themeFill="background1" w:themeFillShade="D9"/>
            <w:vAlign w:val="center"/>
          </w:tcPr>
          <w:p w14:paraId="41461988" w14:textId="0110DC7B" w:rsidR="00F3692E" w:rsidRPr="00C90A05" w:rsidRDefault="00F3692E" w:rsidP="00F3692E">
            <w:pPr>
              <w:jc w:val="center"/>
              <w:rPr>
                <w:rFonts w:cs="Arial"/>
                <w:color w:val="000000" w:themeColor="text1"/>
                <w:sz w:val="18"/>
                <w:szCs w:val="20"/>
              </w:rPr>
            </w:pPr>
            <w:r w:rsidRPr="00C90A05">
              <w:rPr>
                <w:sz w:val="18"/>
                <w:szCs w:val="20"/>
              </w:rPr>
              <w:t>4.93 ± 0.23</w:t>
            </w:r>
          </w:p>
        </w:tc>
        <w:tc>
          <w:tcPr>
            <w:tcW w:w="1413" w:type="dxa"/>
            <w:tcBorders>
              <w:top w:val="nil"/>
              <w:left w:val="nil"/>
              <w:bottom w:val="nil"/>
              <w:right w:val="nil"/>
            </w:tcBorders>
            <w:shd w:val="clear" w:color="auto" w:fill="D9D9D9" w:themeFill="background1" w:themeFillShade="D9"/>
            <w:vAlign w:val="center"/>
          </w:tcPr>
          <w:p w14:paraId="394E3DBD" w14:textId="279F542B" w:rsidR="00F3692E" w:rsidRPr="00C90A05" w:rsidRDefault="00F3692E" w:rsidP="00F3692E">
            <w:pPr>
              <w:jc w:val="center"/>
              <w:rPr>
                <w:sz w:val="18"/>
              </w:rPr>
            </w:pPr>
            <w:r w:rsidRPr="00C90A05">
              <w:rPr>
                <w:sz w:val="18"/>
              </w:rPr>
              <w:t>4.91 ± 0.19</w:t>
            </w:r>
          </w:p>
        </w:tc>
        <w:tc>
          <w:tcPr>
            <w:tcW w:w="1413" w:type="dxa"/>
            <w:tcBorders>
              <w:top w:val="nil"/>
              <w:left w:val="nil"/>
              <w:bottom w:val="nil"/>
              <w:right w:val="nil"/>
            </w:tcBorders>
            <w:shd w:val="clear" w:color="auto" w:fill="D9D9D9" w:themeFill="background1" w:themeFillShade="D9"/>
            <w:vAlign w:val="center"/>
          </w:tcPr>
          <w:p w14:paraId="09A35281" w14:textId="187F18B3" w:rsidR="00F3692E" w:rsidRPr="00C90A05" w:rsidRDefault="00F3692E" w:rsidP="00F3692E">
            <w:pPr>
              <w:jc w:val="center"/>
              <w:rPr>
                <w:rFonts w:cs="Arial"/>
                <w:color w:val="000000" w:themeColor="text1"/>
                <w:sz w:val="18"/>
                <w:szCs w:val="20"/>
              </w:rPr>
            </w:pPr>
            <w:r w:rsidRPr="00C90A05">
              <w:rPr>
                <w:sz w:val="18"/>
              </w:rPr>
              <w:t>4.94 ± 0.24</w:t>
            </w:r>
          </w:p>
        </w:tc>
        <w:tc>
          <w:tcPr>
            <w:tcW w:w="1256" w:type="dxa"/>
            <w:tcBorders>
              <w:top w:val="nil"/>
              <w:left w:val="nil"/>
              <w:bottom w:val="nil"/>
              <w:right w:val="nil"/>
            </w:tcBorders>
            <w:shd w:val="clear" w:color="auto" w:fill="D9D9D9" w:themeFill="background1" w:themeFillShade="D9"/>
            <w:vAlign w:val="center"/>
          </w:tcPr>
          <w:p w14:paraId="59A0E658" w14:textId="7100B47C" w:rsidR="00F3692E" w:rsidRPr="00C90A05" w:rsidRDefault="00F3692E" w:rsidP="00F3692E">
            <w:pPr>
              <w:jc w:val="center"/>
              <w:rPr>
                <w:rFonts w:cs="Arial"/>
                <w:color w:val="000000" w:themeColor="text1"/>
                <w:sz w:val="18"/>
                <w:szCs w:val="20"/>
              </w:rPr>
            </w:pPr>
            <w:r w:rsidRPr="00C90A05">
              <w:rPr>
                <w:sz w:val="18"/>
              </w:rPr>
              <w:t>4.09 - 5.63</w:t>
            </w:r>
          </w:p>
        </w:tc>
        <w:tc>
          <w:tcPr>
            <w:tcW w:w="1498" w:type="dxa"/>
            <w:tcBorders>
              <w:top w:val="nil"/>
              <w:left w:val="nil"/>
              <w:bottom w:val="nil"/>
              <w:right w:val="nil"/>
            </w:tcBorders>
            <w:shd w:val="clear" w:color="auto" w:fill="D9D9D9" w:themeFill="background1" w:themeFillShade="D9"/>
            <w:vAlign w:val="center"/>
          </w:tcPr>
          <w:p w14:paraId="0CB1A2C0" w14:textId="63F89716" w:rsidR="00F3692E" w:rsidRPr="00C90A05" w:rsidRDefault="00F3692E" w:rsidP="00F3692E">
            <w:pPr>
              <w:jc w:val="center"/>
              <w:rPr>
                <w:rFonts w:cs="Arial"/>
                <w:color w:val="000000" w:themeColor="text1"/>
                <w:sz w:val="18"/>
                <w:szCs w:val="20"/>
              </w:rPr>
            </w:pPr>
            <w:r w:rsidRPr="00C90A05">
              <w:rPr>
                <w:sz w:val="18"/>
              </w:rPr>
              <w:t>4.27 - 5.60</w:t>
            </w:r>
          </w:p>
        </w:tc>
      </w:tr>
      <w:tr w:rsidR="00F3692E" w14:paraId="02366C64" w14:textId="77777777" w:rsidTr="0076249A">
        <w:trPr>
          <w:trHeight w:val="340"/>
        </w:trPr>
        <w:tc>
          <w:tcPr>
            <w:tcW w:w="2068" w:type="dxa"/>
            <w:tcBorders>
              <w:top w:val="nil"/>
              <w:left w:val="nil"/>
              <w:bottom w:val="nil"/>
              <w:right w:val="nil"/>
            </w:tcBorders>
            <w:vAlign w:val="center"/>
          </w:tcPr>
          <w:p w14:paraId="1CF1F571" w14:textId="08D4BA37" w:rsidR="00F3692E" w:rsidRPr="0038600B" w:rsidRDefault="00F3692E" w:rsidP="00F3692E">
            <w:pPr>
              <w:rPr>
                <w:rFonts w:cs="Arial"/>
                <w:color w:val="000000" w:themeColor="text1"/>
                <w:sz w:val="20"/>
                <w:szCs w:val="20"/>
              </w:rPr>
            </w:pPr>
            <w:r>
              <w:rPr>
                <w:rFonts w:cs="Arial"/>
                <w:color w:val="000000" w:themeColor="text1"/>
                <w:sz w:val="20"/>
                <w:szCs w:val="20"/>
              </w:rPr>
              <w:t>Carbohydrate</w:t>
            </w:r>
          </w:p>
        </w:tc>
        <w:tc>
          <w:tcPr>
            <w:tcW w:w="1412" w:type="dxa"/>
            <w:tcBorders>
              <w:top w:val="nil"/>
              <w:left w:val="nil"/>
              <w:bottom w:val="nil"/>
              <w:right w:val="nil"/>
            </w:tcBorders>
            <w:shd w:val="clear" w:color="auto" w:fill="auto"/>
            <w:vAlign w:val="center"/>
          </w:tcPr>
          <w:p w14:paraId="0961A840" w14:textId="00C0D074" w:rsidR="00F3692E" w:rsidRPr="00C90A05" w:rsidRDefault="00F3692E" w:rsidP="00F3692E">
            <w:pPr>
              <w:jc w:val="center"/>
              <w:rPr>
                <w:rFonts w:cs="Arial"/>
                <w:color w:val="000000" w:themeColor="text1"/>
                <w:sz w:val="18"/>
                <w:szCs w:val="20"/>
              </w:rPr>
            </w:pPr>
            <w:r w:rsidRPr="00C90A05">
              <w:rPr>
                <w:sz w:val="18"/>
                <w:szCs w:val="20"/>
              </w:rPr>
              <w:t>35.2 ± 0.85</w:t>
            </w:r>
          </w:p>
        </w:tc>
        <w:tc>
          <w:tcPr>
            <w:tcW w:w="1413" w:type="dxa"/>
            <w:tcBorders>
              <w:top w:val="nil"/>
              <w:left w:val="nil"/>
              <w:bottom w:val="nil"/>
              <w:right w:val="nil"/>
            </w:tcBorders>
            <w:shd w:val="clear" w:color="auto" w:fill="C6D9F1" w:themeFill="text2" w:themeFillTint="33"/>
            <w:vAlign w:val="center"/>
          </w:tcPr>
          <w:p w14:paraId="02805B92" w14:textId="266CC2E0" w:rsidR="00F3692E" w:rsidRPr="00C90A05" w:rsidRDefault="00F3692E" w:rsidP="00F3692E">
            <w:pPr>
              <w:jc w:val="center"/>
              <w:rPr>
                <w:rFonts w:cs="Arial"/>
                <w:color w:val="000000" w:themeColor="text1"/>
                <w:sz w:val="18"/>
                <w:szCs w:val="20"/>
              </w:rPr>
            </w:pPr>
            <w:r w:rsidRPr="00C90A05">
              <w:rPr>
                <w:sz w:val="18"/>
              </w:rPr>
              <w:t>34.4 ± 0.97</w:t>
            </w:r>
          </w:p>
        </w:tc>
        <w:tc>
          <w:tcPr>
            <w:tcW w:w="1413" w:type="dxa"/>
            <w:tcBorders>
              <w:top w:val="nil"/>
              <w:left w:val="nil"/>
              <w:bottom w:val="nil"/>
              <w:right w:val="nil"/>
            </w:tcBorders>
            <w:shd w:val="clear" w:color="auto" w:fill="C6D9F1" w:themeFill="text2" w:themeFillTint="33"/>
            <w:vAlign w:val="center"/>
          </w:tcPr>
          <w:p w14:paraId="1145ABFC" w14:textId="5EE35C19" w:rsidR="00F3692E" w:rsidRPr="00C90A05" w:rsidRDefault="00F3692E" w:rsidP="00F3692E">
            <w:pPr>
              <w:jc w:val="center"/>
              <w:rPr>
                <w:rFonts w:cs="Arial"/>
                <w:color w:val="000000" w:themeColor="text1"/>
                <w:sz w:val="18"/>
                <w:szCs w:val="20"/>
              </w:rPr>
            </w:pPr>
            <w:r w:rsidRPr="00C90A05">
              <w:rPr>
                <w:sz w:val="18"/>
              </w:rPr>
              <w:t>34.5 ± 1.14</w:t>
            </w:r>
          </w:p>
        </w:tc>
        <w:tc>
          <w:tcPr>
            <w:tcW w:w="1256" w:type="dxa"/>
            <w:tcBorders>
              <w:top w:val="nil"/>
              <w:left w:val="nil"/>
              <w:bottom w:val="nil"/>
              <w:right w:val="nil"/>
            </w:tcBorders>
            <w:shd w:val="clear" w:color="auto" w:fill="auto"/>
            <w:vAlign w:val="center"/>
          </w:tcPr>
          <w:p w14:paraId="38E3A204" w14:textId="4318F534" w:rsidR="00F3692E" w:rsidRPr="00C90A05" w:rsidRDefault="00F3692E" w:rsidP="00F3692E">
            <w:pPr>
              <w:jc w:val="center"/>
              <w:rPr>
                <w:rFonts w:cs="Arial"/>
                <w:color w:val="000000" w:themeColor="text1"/>
                <w:sz w:val="18"/>
                <w:szCs w:val="20"/>
              </w:rPr>
            </w:pPr>
            <w:r w:rsidRPr="00C90A05">
              <w:rPr>
                <w:sz w:val="18"/>
              </w:rPr>
              <w:t>32.3 - 39.1</w:t>
            </w:r>
          </w:p>
        </w:tc>
        <w:tc>
          <w:tcPr>
            <w:tcW w:w="1498" w:type="dxa"/>
            <w:tcBorders>
              <w:top w:val="nil"/>
              <w:left w:val="nil"/>
              <w:bottom w:val="nil"/>
              <w:right w:val="nil"/>
            </w:tcBorders>
            <w:shd w:val="clear" w:color="auto" w:fill="auto"/>
            <w:vAlign w:val="center"/>
          </w:tcPr>
          <w:p w14:paraId="0FCB382A" w14:textId="7018F750" w:rsidR="00F3692E" w:rsidRPr="00C90A05" w:rsidRDefault="00F3692E" w:rsidP="00F3692E">
            <w:pPr>
              <w:jc w:val="center"/>
              <w:rPr>
                <w:rFonts w:cs="Arial"/>
                <w:color w:val="000000" w:themeColor="text1"/>
                <w:sz w:val="18"/>
                <w:szCs w:val="20"/>
              </w:rPr>
            </w:pPr>
            <w:r w:rsidRPr="00C90A05">
              <w:rPr>
                <w:sz w:val="18"/>
              </w:rPr>
              <w:t>32.1 - 40.0</w:t>
            </w:r>
          </w:p>
        </w:tc>
      </w:tr>
      <w:tr w:rsidR="00F3692E" w14:paraId="7D5EA340" w14:textId="77777777" w:rsidTr="0076249A">
        <w:trPr>
          <w:trHeight w:val="340"/>
        </w:trPr>
        <w:tc>
          <w:tcPr>
            <w:tcW w:w="2068" w:type="dxa"/>
            <w:tcBorders>
              <w:top w:val="nil"/>
              <w:left w:val="nil"/>
              <w:bottom w:val="nil"/>
              <w:right w:val="nil"/>
            </w:tcBorders>
            <w:shd w:val="clear" w:color="auto" w:fill="D9D9D9" w:themeFill="background1" w:themeFillShade="D9"/>
            <w:vAlign w:val="center"/>
          </w:tcPr>
          <w:p w14:paraId="7CE8F697" w14:textId="5B6295C8" w:rsidR="00F3692E" w:rsidRPr="0038600B" w:rsidRDefault="00F3692E" w:rsidP="00F3692E">
            <w:pPr>
              <w:rPr>
                <w:rFonts w:cs="Arial"/>
                <w:color w:val="000000" w:themeColor="text1"/>
                <w:sz w:val="20"/>
                <w:szCs w:val="20"/>
              </w:rPr>
            </w:pPr>
            <w:r>
              <w:rPr>
                <w:rFonts w:cs="Arial"/>
                <w:color w:val="000000" w:themeColor="text1"/>
                <w:sz w:val="20"/>
                <w:szCs w:val="20"/>
              </w:rPr>
              <w:t>Crude protein</w:t>
            </w:r>
          </w:p>
        </w:tc>
        <w:tc>
          <w:tcPr>
            <w:tcW w:w="1412" w:type="dxa"/>
            <w:tcBorders>
              <w:top w:val="nil"/>
              <w:left w:val="nil"/>
              <w:bottom w:val="nil"/>
              <w:right w:val="nil"/>
            </w:tcBorders>
            <w:shd w:val="clear" w:color="auto" w:fill="D9D9D9" w:themeFill="background1" w:themeFillShade="D9"/>
            <w:vAlign w:val="center"/>
          </w:tcPr>
          <w:p w14:paraId="1048FCE4" w14:textId="10DAA9EE" w:rsidR="00F3692E" w:rsidRPr="00C90A05" w:rsidRDefault="00F3692E" w:rsidP="00F3692E">
            <w:pPr>
              <w:jc w:val="center"/>
              <w:rPr>
                <w:rFonts w:cs="Arial"/>
                <w:color w:val="000000" w:themeColor="text1"/>
                <w:sz w:val="18"/>
                <w:szCs w:val="20"/>
              </w:rPr>
            </w:pPr>
            <w:r w:rsidRPr="00C90A05">
              <w:rPr>
                <w:sz w:val="18"/>
                <w:szCs w:val="20"/>
              </w:rPr>
              <w:t>39.7 ± 1.07</w:t>
            </w:r>
          </w:p>
        </w:tc>
        <w:tc>
          <w:tcPr>
            <w:tcW w:w="1413" w:type="dxa"/>
            <w:tcBorders>
              <w:top w:val="nil"/>
              <w:left w:val="nil"/>
              <w:bottom w:val="nil"/>
              <w:right w:val="nil"/>
            </w:tcBorders>
            <w:shd w:val="clear" w:color="auto" w:fill="C6D9F1" w:themeFill="text2" w:themeFillTint="33"/>
            <w:vAlign w:val="center"/>
          </w:tcPr>
          <w:p w14:paraId="5B1A6EF3" w14:textId="124F9FCD" w:rsidR="00F3692E" w:rsidRPr="00C90A05" w:rsidRDefault="00F3692E" w:rsidP="00F3692E">
            <w:pPr>
              <w:jc w:val="center"/>
              <w:rPr>
                <w:rFonts w:cs="Arial"/>
                <w:color w:val="000000" w:themeColor="text1"/>
                <w:sz w:val="18"/>
                <w:szCs w:val="20"/>
              </w:rPr>
            </w:pPr>
            <w:r w:rsidRPr="00C90A05">
              <w:rPr>
                <w:sz w:val="18"/>
              </w:rPr>
              <w:t>40.4 ± 1.37</w:t>
            </w:r>
          </w:p>
        </w:tc>
        <w:tc>
          <w:tcPr>
            <w:tcW w:w="1413" w:type="dxa"/>
            <w:tcBorders>
              <w:top w:val="nil"/>
              <w:left w:val="nil"/>
              <w:bottom w:val="nil"/>
              <w:right w:val="nil"/>
            </w:tcBorders>
            <w:shd w:val="clear" w:color="auto" w:fill="C6D9F1" w:themeFill="text2" w:themeFillTint="33"/>
            <w:vAlign w:val="center"/>
          </w:tcPr>
          <w:p w14:paraId="201F3BFE" w14:textId="265FE69F" w:rsidR="00F3692E" w:rsidRPr="00C90A05" w:rsidRDefault="00F3692E" w:rsidP="00F3692E">
            <w:pPr>
              <w:jc w:val="center"/>
              <w:rPr>
                <w:rFonts w:cs="Arial"/>
                <w:color w:val="000000" w:themeColor="text1"/>
                <w:sz w:val="18"/>
                <w:szCs w:val="20"/>
              </w:rPr>
            </w:pPr>
            <w:r w:rsidRPr="00C90A05">
              <w:rPr>
                <w:sz w:val="18"/>
              </w:rPr>
              <w:t>40.4 ± 1.37</w:t>
            </w:r>
          </w:p>
        </w:tc>
        <w:tc>
          <w:tcPr>
            <w:tcW w:w="1256" w:type="dxa"/>
            <w:tcBorders>
              <w:top w:val="nil"/>
              <w:left w:val="nil"/>
              <w:bottom w:val="nil"/>
              <w:right w:val="nil"/>
            </w:tcBorders>
            <w:shd w:val="clear" w:color="auto" w:fill="D9D9D9" w:themeFill="background1" w:themeFillShade="D9"/>
            <w:vAlign w:val="center"/>
          </w:tcPr>
          <w:p w14:paraId="694D3F56" w14:textId="1CD3D9D7" w:rsidR="00F3692E" w:rsidRPr="00C90A05" w:rsidRDefault="00B53A1F" w:rsidP="00B53A1F">
            <w:pPr>
              <w:jc w:val="center"/>
              <w:rPr>
                <w:sz w:val="18"/>
              </w:rPr>
            </w:pPr>
            <w:r w:rsidRPr="00C90A05">
              <w:rPr>
                <w:sz w:val="18"/>
              </w:rPr>
              <w:t>33.6 - 44.1</w:t>
            </w:r>
          </w:p>
        </w:tc>
        <w:tc>
          <w:tcPr>
            <w:tcW w:w="1498" w:type="dxa"/>
            <w:tcBorders>
              <w:top w:val="nil"/>
              <w:left w:val="nil"/>
              <w:bottom w:val="nil"/>
              <w:right w:val="nil"/>
            </w:tcBorders>
            <w:shd w:val="clear" w:color="auto" w:fill="D9D9D9" w:themeFill="background1" w:themeFillShade="D9"/>
            <w:vAlign w:val="center"/>
          </w:tcPr>
          <w:p w14:paraId="5383ABB2" w14:textId="62F90F2B" w:rsidR="00F3692E" w:rsidRPr="00C90A05" w:rsidRDefault="0023686F" w:rsidP="00F3692E">
            <w:pPr>
              <w:jc w:val="center"/>
              <w:rPr>
                <w:rFonts w:cs="Arial"/>
                <w:color w:val="000000" w:themeColor="text1"/>
                <w:sz w:val="18"/>
                <w:szCs w:val="20"/>
              </w:rPr>
            </w:pPr>
            <w:r w:rsidRPr="00C90A05">
              <w:rPr>
                <w:sz w:val="18"/>
              </w:rPr>
              <w:t>32.6 - 45.5</w:t>
            </w:r>
          </w:p>
        </w:tc>
      </w:tr>
      <w:tr w:rsidR="00F3692E" w14:paraId="75704C4B" w14:textId="77777777" w:rsidTr="0076249A">
        <w:trPr>
          <w:trHeight w:val="340"/>
        </w:trPr>
        <w:tc>
          <w:tcPr>
            <w:tcW w:w="2068" w:type="dxa"/>
            <w:tcBorders>
              <w:top w:val="nil"/>
              <w:left w:val="nil"/>
              <w:bottom w:val="nil"/>
              <w:right w:val="nil"/>
            </w:tcBorders>
            <w:vAlign w:val="center"/>
          </w:tcPr>
          <w:p w14:paraId="32A9DB6B" w14:textId="7003EACC" w:rsidR="00F3692E" w:rsidRPr="0038600B" w:rsidRDefault="00F3692E" w:rsidP="00F3692E">
            <w:pPr>
              <w:rPr>
                <w:rFonts w:cs="Arial"/>
                <w:color w:val="000000" w:themeColor="text1"/>
                <w:sz w:val="20"/>
                <w:szCs w:val="20"/>
              </w:rPr>
            </w:pPr>
            <w:r>
              <w:rPr>
                <w:rFonts w:cs="Arial"/>
                <w:color w:val="000000" w:themeColor="text1"/>
                <w:sz w:val="20"/>
                <w:szCs w:val="20"/>
              </w:rPr>
              <w:t>Crude fat</w:t>
            </w:r>
          </w:p>
        </w:tc>
        <w:tc>
          <w:tcPr>
            <w:tcW w:w="1412" w:type="dxa"/>
            <w:tcBorders>
              <w:top w:val="nil"/>
              <w:left w:val="nil"/>
              <w:bottom w:val="nil"/>
              <w:right w:val="nil"/>
            </w:tcBorders>
            <w:shd w:val="clear" w:color="auto" w:fill="auto"/>
            <w:vAlign w:val="center"/>
          </w:tcPr>
          <w:p w14:paraId="39535371" w14:textId="484CF701" w:rsidR="00F3692E" w:rsidRPr="00C90A05" w:rsidRDefault="00F3692E" w:rsidP="00F3692E">
            <w:pPr>
              <w:jc w:val="center"/>
              <w:rPr>
                <w:rFonts w:cs="Arial"/>
                <w:color w:val="000000" w:themeColor="text1"/>
                <w:sz w:val="18"/>
                <w:szCs w:val="20"/>
              </w:rPr>
            </w:pPr>
            <w:r w:rsidRPr="00C90A05">
              <w:rPr>
                <w:sz w:val="18"/>
                <w:szCs w:val="20"/>
              </w:rPr>
              <w:t>20.2 ± 0.77</w:t>
            </w:r>
          </w:p>
        </w:tc>
        <w:tc>
          <w:tcPr>
            <w:tcW w:w="1413" w:type="dxa"/>
            <w:tcBorders>
              <w:top w:val="nil"/>
              <w:left w:val="nil"/>
              <w:bottom w:val="nil"/>
              <w:right w:val="nil"/>
            </w:tcBorders>
            <w:shd w:val="clear" w:color="auto" w:fill="auto"/>
            <w:vAlign w:val="center"/>
          </w:tcPr>
          <w:p w14:paraId="4CB4D909" w14:textId="06A8E666" w:rsidR="00F3692E" w:rsidRPr="00C90A05" w:rsidRDefault="00F3692E" w:rsidP="00F3692E">
            <w:pPr>
              <w:jc w:val="center"/>
              <w:rPr>
                <w:rFonts w:cs="Arial"/>
                <w:color w:val="000000" w:themeColor="text1"/>
                <w:sz w:val="18"/>
                <w:szCs w:val="20"/>
              </w:rPr>
            </w:pPr>
            <w:r w:rsidRPr="00C90A05">
              <w:rPr>
                <w:sz w:val="18"/>
              </w:rPr>
              <w:t>20.3 ± 0.99</w:t>
            </w:r>
          </w:p>
        </w:tc>
        <w:tc>
          <w:tcPr>
            <w:tcW w:w="1413" w:type="dxa"/>
            <w:tcBorders>
              <w:top w:val="nil"/>
              <w:left w:val="nil"/>
              <w:bottom w:val="nil"/>
              <w:right w:val="nil"/>
            </w:tcBorders>
            <w:shd w:val="clear" w:color="auto" w:fill="auto"/>
            <w:vAlign w:val="center"/>
          </w:tcPr>
          <w:p w14:paraId="50F716F2" w14:textId="7329C840" w:rsidR="00F3692E" w:rsidRPr="00C90A05" w:rsidRDefault="00F3692E" w:rsidP="00F3692E">
            <w:pPr>
              <w:jc w:val="center"/>
              <w:rPr>
                <w:rFonts w:cs="Arial"/>
                <w:color w:val="000000" w:themeColor="text1"/>
                <w:sz w:val="18"/>
                <w:szCs w:val="20"/>
              </w:rPr>
            </w:pPr>
            <w:r w:rsidRPr="00C90A05">
              <w:rPr>
                <w:sz w:val="18"/>
              </w:rPr>
              <w:t>20.1 ± 0.92</w:t>
            </w:r>
          </w:p>
        </w:tc>
        <w:tc>
          <w:tcPr>
            <w:tcW w:w="1256" w:type="dxa"/>
            <w:tcBorders>
              <w:top w:val="nil"/>
              <w:left w:val="nil"/>
              <w:bottom w:val="nil"/>
              <w:right w:val="nil"/>
            </w:tcBorders>
            <w:shd w:val="clear" w:color="auto" w:fill="auto"/>
            <w:vAlign w:val="center"/>
          </w:tcPr>
          <w:p w14:paraId="3238123D" w14:textId="53B2A7CA" w:rsidR="00B53A1F" w:rsidRPr="00C90A05" w:rsidRDefault="00B53A1F" w:rsidP="00F3692E">
            <w:pPr>
              <w:jc w:val="center"/>
              <w:rPr>
                <w:rFonts w:cs="Arial"/>
                <w:color w:val="000000" w:themeColor="text1"/>
                <w:sz w:val="18"/>
                <w:szCs w:val="20"/>
              </w:rPr>
            </w:pPr>
            <w:r w:rsidRPr="00C90A05">
              <w:rPr>
                <w:sz w:val="18"/>
              </w:rPr>
              <w:t>17.5 - 23.8</w:t>
            </w:r>
          </w:p>
        </w:tc>
        <w:tc>
          <w:tcPr>
            <w:tcW w:w="1498" w:type="dxa"/>
            <w:tcBorders>
              <w:top w:val="nil"/>
              <w:left w:val="nil"/>
              <w:bottom w:val="nil"/>
              <w:right w:val="nil"/>
            </w:tcBorders>
            <w:shd w:val="clear" w:color="auto" w:fill="auto"/>
            <w:vAlign w:val="center"/>
          </w:tcPr>
          <w:p w14:paraId="2C207D36" w14:textId="38701F66" w:rsidR="0023686F" w:rsidRPr="00C90A05" w:rsidRDefault="0023686F" w:rsidP="00F3692E">
            <w:pPr>
              <w:jc w:val="center"/>
              <w:rPr>
                <w:rFonts w:cs="Arial"/>
                <w:color w:val="000000" w:themeColor="text1"/>
                <w:sz w:val="18"/>
                <w:szCs w:val="20"/>
              </w:rPr>
            </w:pPr>
            <w:r w:rsidRPr="00C90A05">
              <w:rPr>
                <w:sz w:val="18"/>
              </w:rPr>
              <w:t>15.8 - 24.2</w:t>
            </w:r>
          </w:p>
        </w:tc>
      </w:tr>
      <w:tr w:rsidR="00F3692E" w14:paraId="07789C1D" w14:textId="77777777" w:rsidTr="0076249A">
        <w:trPr>
          <w:trHeight w:val="340"/>
        </w:trPr>
        <w:tc>
          <w:tcPr>
            <w:tcW w:w="2068" w:type="dxa"/>
            <w:tcBorders>
              <w:top w:val="nil"/>
              <w:left w:val="nil"/>
              <w:bottom w:val="nil"/>
              <w:right w:val="nil"/>
            </w:tcBorders>
            <w:shd w:val="clear" w:color="auto" w:fill="D9D9D9" w:themeFill="background1" w:themeFillShade="D9"/>
            <w:vAlign w:val="center"/>
          </w:tcPr>
          <w:p w14:paraId="702BC49E" w14:textId="42EFC771" w:rsidR="00F3692E" w:rsidRPr="0038600B" w:rsidRDefault="00F3692E" w:rsidP="00F3692E">
            <w:pPr>
              <w:rPr>
                <w:rFonts w:cs="Arial"/>
                <w:color w:val="000000" w:themeColor="text1"/>
                <w:sz w:val="20"/>
                <w:szCs w:val="20"/>
              </w:rPr>
            </w:pPr>
            <w:r w:rsidRPr="0038600B">
              <w:rPr>
                <w:rFonts w:cs="Arial"/>
                <w:color w:val="000000" w:themeColor="text1"/>
                <w:sz w:val="20"/>
                <w:szCs w:val="20"/>
              </w:rPr>
              <w:t>Acid Detergent Fibre</w:t>
            </w:r>
          </w:p>
        </w:tc>
        <w:tc>
          <w:tcPr>
            <w:tcW w:w="1412" w:type="dxa"/>
            <w:tcBorders>
              <w:top w:val="nil"/>
              <w:left w:val="nil"/>
              <w:bottom w:val="nil"/>
              <w:right w:val="nil"/>
            </w:tcBorders>
            <w:shd w:val="clear" w:color="auto" w:fill="D9D9D9" w:themeFill="background1" w:themeFillShade="D9"/>
            <w:vAlign w:val="center"/>
          </w:tcPr>
          <w:p w14:paraId="5A22C67A" w14:textId="6373A1EF" w:rsidR="00F3692E" w:rsidRPr="00C90A05" w:rsidRDefault="00F3692E" w:rsidP="00F3692E">
            <w:pPr>
              <w:jc w:val="center"/>
              <w:rPr>
                <w:rFonts w:cs="Arial"/>
                <w:color w:val="000000" w:themeColor="text1"/>
                <w:sz w:val="18"/>
                <w:szCs w:val="20"/>
              </w:rPr>
            </w:pPr>
            <w:r w:rsidRPr="00C90A05">
              <w:rPr>
                <w:sz w:val="18"/>
                <w:szCs w:val="20"/>
              </w:rPr>
              <w:t>16.2 ± 2.10</w:t>
            </w:r>
          </w:p>
        </w:tc>
        <w:tc>
          <w:tcPr>
            <w:tcW w:w="1413" w:type="dxa"/>
            <w:tcBorders>
              <w:top w:val="nil"/>
              <w:left w:val="nil"/>
              <w:bottom w:val="nil"/>
              <w:right w:val="nil"/>
            </w:tcBorders>
            <w:shd w:val="clear" w:color="auto" w:fill="D9D9D9" w:themeFill="background1" w:themeFillShade="D9"/>
            <w:vAlign w:val="center"/>
          </w:tcPr>
          <w:p w14:paraId="03251183" w14:textId="748ED6D6" w:rsidR="00F3692E" w:rsidRPr="00C90A05" w:rsidRDefault="00F3692E" w:rsidP="00F3692E">
            <w:pPr>
              <w:jc w:val="center"/>
              <w:rPr>
                <w:rFonts w:cs="Arial"/>
                <w:color w:val="000000" w:themeColor="text1"/>
                <w:sz w:val="18"/>
                <w:szCs w:val="20"/>
              </w:rPr>
            </w:pPr>
            <w:r w:rsidRPr="00C90A05">
              <w:rPr>
                <w:sz w:val="18"/>
              </w:rPr>
              <w:t>15.5 ± 1.63</w:t>
            </w:r>
          </w:p>
        </w:tc>
        <w:tc>
          <w:tcPr>
            <w:tcW w:w="1413" w:type="dxa"/>
            <w:tcBorders>
              <w:top w:val="nil"/>
              <w:left w:val="nil"/>
              <w:bottom w:val="nil"/>
              <w:right w:val="nil"/>
            </w:tcBorders>
            <w:shd w:val="clear" w:color="auto" w:fill="D9D9D9" w:themeFill="background1" w:themeFillShade="D9"/>
            <w:vAlign w:val="center"/>
          </w:tcPr>
          <w:p w14:paraId="401D843D" w14:textId="6084FC36" w:rsidR="00F3692E" w:rsidRPr="00C90A05" w:rsidRDefault="00F3692E" w:rsidP="00F3692E">
            <w:pPr>
              <w:jc w:val="center"/>
              <w:rPr>
                <w:rFonts w:cs="Arial"/>
                <w:color w:val="000000" w:themeColor="text1"/>
                <w:sz w:val="18"/>
                <w:szCs w:val="20"/>
              </w:rPr>
            </w:pPr>
            <w:r w:rsidRPr="00C90A05">
              <w:rPr>
                <w:sz w:val="18"/>
              </w:rPr>
              <w:t>15.7 ± 1.41</w:t>
            </w:r>
          </w:p>
        </w:tc>
        <w:tc>
          <w:tcPr>
            <w:tcW w:w="1256" w:type="dxa"/>
            <w:tcBorders>
              <w:top w:val="nil"/>
              <w:left w:val="nil"/>
              <w:bottom w:val="nil"/>
              <w:right w:val="nil"/>
            </w:tcBorders>
            <w:shd w:val="clear" w:color="auto" w:fill="D9D9D9" w:themeFill="background1" w:themeFillShade="D9"/>
            <w:vAlign w:val="center"/>
          </w:tcPr>
          <w:p w14:paraId="4766F419" w14:textId="545198CA" w:rsidR="00F3692E" w:rsidRPr="00C90A05" w:rsidRDefault="00F3692E" w:rsidP="00F3692E">
            <w:pPr>
              <w:jc w:val="center"/>
              <w:rPr>
                <w:rFonts w:cs="Arial"/>
                <w:color w:val="000000" w:themeColor="text1"/>
                <w:sz w:val="18"/>
                <w:szCs w:val="20"/>
              </w:rPr>
            </w:pPr>
            <w:r w:rsidRPr="00C90A05">
              <w:rPr>
                <w:sz w:val="18"/>
              </w:rPr>
              <w:t>10.6 - 21.2</w:t>
            </w:r>
          </w:p>
        </w:tc>
        <w:tc>
          <w:tcPr>
            <w:tcW w:w="1498" w:type="dxa"/>
            <w:tcBorders>
              <w:top w:val="nil"/>
              <w:left w:val="nil"/>
              <w:bottom w:val="nil"/>
              <w:right w:val="nil"/>
            </w:tcBorders>
            <w:shd w:val="clear" w:color="auto" w:fill="D9D9D9" w:themeFill="background1" w:themeFillShade="D9"/>
            <w:vAlign w:val="center"/>
          </w:tcPr>
          <w:p w14:paraId="53AF4F0E" w14:textId="0ACBAE70" w:rsidR="00F3692E" w:rsidRPr="00C90A05" w:rsidRDefault="00F3692E" w:rsidP="00F3692E">
            <w:pPr>
              <w:jc w:val="center"/>
              <w:rPr>
                <w:rFonts w:cs="Arial"/>
                <w:color w:val="000000" w:themeColor="text1"/>
                <w:sz w:val="18"/>
                <w:szCs w:val="20"/>
              </w:rPr>
            </w:pPr>
            <w:r w:rsidRPr="00C90A05">
              <w:rPr>
                <w:sz w:val="18"/>
              </w:rPr>
              <w:t>9.8 - 20.9</w:t>
            </w:r>
          </w:p>
        </w:tc>
      </w:tr>
      <w:tr w:rsidR="00F3692E" w14:paraId="34846FEC" w14:textId="77777777" w:rsidTr="0076249A">
        <w:trPr>
          <w:trHeight w:val="340"/>
        </w:trPr>
        <w:tc>
          <w:tcPr>
            <w:tcW w:w="2068" w:type="dxa"/>
            <w:tcBorders>
              <w:top w:val="nil"/>
              <w:left w:val="nil"/>
              <w:bottom w:val="nil"/>
              <w:right w:val="nil"/>
            </w:tcBorders>
            <w:vAlign w:val="center"/>
          </w:tcPr>
          <w:p w14:paraId="3909B7B6" w14:textId="4C238C56" w:rsidR="00F3692E" w:rsidRPr="0038600B" w:rsidRDefault="00F3692E" w:rsidP="00F3692E">
            <w:pPr>
              <w:rPr>
                <w:rFonts w:cs="Arial"/>
                <w:color w:val="000000" w:themeColor="text1"/>
                <w:sz w:val="20"/>
                <w:szCs w:val="20"/>
              </w:rPr>
            </w:pPr>
            <w:r w:rsidRPr="0038600B">
              <w:rPr>
                <w:rFonts w:cs="Arial"/>
                <w:color w:val="000000" w:themeColor="text1"/>
                <w:sz w:val="20"/>
                <w:szCs w:val="20"/>
              </w:rPr>
              <w:t>Neutral Detergent Fibre</w:t>
            </w:r>
          </w:p>
        </w:tc>
        <w:tc>
          <w:tcPr>
            <w:tcW w:w="1412" w:type="dxa"/>
            <w:tcBorders>
              <w:top w:val="nil"/>
              <w:left w:val="nil"/>
              <w:bottom w:val="nil"/>
              <w:right w:val="nil"/>
            </w:tcBorders>
            <w:shd w:val="clear" w:color="auto" w:fill="auto"/>
            <w:vAlign w:val="center"/>
          </w:tcPr>
          <w:p w14:paraId="44D99D47" w14:textId="4AC45341" w:rsidR="00F3692E" w:rsidRPr="00C90A05" w:rsidRDefault="00F3692E" w:rsidP="00F3692E">
            <w:pPr>
              <w:jc w:val="center"/>
              <w:rPr>
                <w:rFonts w:cs="Arial"/>
                <w:color w:val="000000" w:themeColor="text1"/>
                <w:sz w:val="18"/>
                <w:szCs w:val="20"/>
              </w:rPr>
            </w:pPr>
            <w:r w:rsidRPr="00C90A05">
              <w:rPr>
                <w:sz w:val="18"/>
                <w:szCs w:val="20"/>
              </w:rPr>
              <w:t>16.3 ± 1.52</w:t>
            </w:r>
          </w:p>
        </w:tc>
        <w:tc>
          <w:tcPr>
            <w:tcW w:w="1413" w:type="dxa"/>
            <w:tcBorders>
              <w:top w:val="nil"/>
              <w:left w:val="nil"/>
              <w:bottom w:val="nil"/>
              <w:right w:val="nil"/>
            </w:tcBorders>
            <w:shd w:val="clear" w:color="auto" w:fill="auto"/>
            <w:vAlign w:val="center"/>
          </w:tcPr>
          <w:p w14:paraId="6B7396AA" w14:textId="26D4D20B" w:rsidR="00F3692E" w:rsidRPr="00C90A05" w:rsidRDefault="00F3692E" w:rsidP="00F3692E">
            <w:pPr>
              <w:jc w:val="center"/>
              <w:rPr>
                <w:rFonts w:cs="Arial"/>
                <w:color w:val="000000" w:themeColor="text1"/>
                <w:sz w:val="18"/>
                <w:szCs w:val="20"/>
              </w:rPr>
            </w:pPr>
            <w:r w:rsidRPr="00C90A05">
              <w:rPr>
                <w:sz w:val="18"/>
              </w:rPr>
              <w:t>16.1 ± 0.97</w:t>
            </w:r>
          </w:p>
        </w:tc>
        <w:tc>
          <w:tcPr>
            <w:tcW w:w="1413" w:type="dxa"/>
            <w:tcBorders>
              <w:top w:val="nil"/>
              <w:left w:val="nil"/>
              <w:bottom w:val="nil"/>
              <w:right w:val="nil"/>
            </w:tcBorders>
            <w:shd w:val="clear" w:color="auto" w:fill="C6D9F1" w:themeFill="text2" w:themeFillTint="33"/>
            <w:vAlign w:val="center"/>
          </w:tcPr>
          <w:p w14:paraId="4C67EAD9" w14:textId="68CC8BC4" w:rsidR="00F3692E" w:rsidRPr="00C90A05" w:rsidRDefault="00F3692E" w:rsidP="00F3692E">
            <w:pPr>
              <w:jc w:val="center"/>
              <w:rPr>
                <w:rFonts w:cs="Arial"/>
                <w:color w:val="000000" w:themeColor="text1"/>
                <w:sz w:val="18"/>
                <w:szCs w:val="20"/>
              </w:rPr>
            </w:pPr>
            <w:r w:rsidRPr="00C90A05">
              <w:rPr>
                <w:sz w:val="18"/>
              </w:rPr>
              <w:t>15.7 ± 1.00</w:t>
            </w:r>
          </w:p>
        </w:tc>
        <w:tc>
          <w:tcPr>
            <w:tcW w:w="1256" w:type="dxa"/>
            <w:tcBorders>
              <w:top w:val="nil"/>
              <w:left w:val="nil"/>
              <w:bottom w:val="nil"/>
              <w:right w:val="nil"/>
            </w:tcBorders>
            <w:shd w:val="clear" w:color="auto" w:fill="auto"/>
            <w:vAlign w:val="center"/>
          </w:tcPr>
          <w:p w14:paraId="49A960AC" w14:textId="595F6E39" w:rsidR="00F3692E" w:rsidRPr="00C90A05" w:rsidRDefault="00F3692E" w:rsidP="00F3692E">
            <w:pPr>
              <w:jc w:val="center"/>
              <w:rPr>
                <w:rFonts w:cs="Arial"/>
                <w:color w:val="000000" w:themeColor="text1"/>
                <w:sz w:val="18"/>
                <w:szCs w:val="20"/>
              </w:rPr>
            </w:pPr>
            <w:r w:rsidRPr="00C90A05">
              <w:rPr>
                <w:sz w:val="18"/>
              </w:rPr>
              <w:t>13.1 - 19.1</w:t>
            </w:r>
          </w:p>
        </w:tc>
        <w:tc>
          <w:tcPr>
            <w:tcW w:w="1498" w:type="dxa"/>
            <w:tcBorders>
              <w:top w:val="nil"/>
              <w:left w:val="nil"/>
              <w:bottom w:val="nil"/>
              <w:right w:val="nil"/>
            </w:tcBorders>
            <w:shd w:val="clear" w:color="auto" w:fill="auto"/>
            <w:vAlign w:val="center"/>
          </w:tcPr>
          <w:p w14:paraId="01EE7829" w14:textId="3FFC4659" w:rsidR="00F3692E" w:rsidRPr="00C90A05" w:rsidRDefault="00F3692E" w:rsidP="00F3692E">
            <w:pPr>
              <w:jc w:val="center"/>
              <w:rPr>
                <w:rFonts w:cs="Arial"/>
                <w:color w:val="000000" w:themeColor="text1"/>
                <w:sz w:val="18"/>
                <w:szCs w:val="20"/>
              </w:rPr>
            </w:pPr>
            <w:r w:rsidRPr="00C90A05">
              <w:rPr>
                <w:sz w:val="18"/>
              </w:rPr>
              <w:t>11.7 - 20.1</w:t>
            </w:r>
          </w:p>
        </w:tc>
      </w:tr>
      <w:tr w:rsidR="00F3692E" w14:paraId="018B3525" w14:textId="77777777" w:rsidTr="0076249A">
        <w:trPr>
          <w:trHeight w:val="340"/>
        </w:trPr>
        <w:tc>
          <w:tcPr>
            <w:tcW w:w="2068" w:type="dxa"/>
            <w:tcBorders>
              <w:top w:val="nil"/>
              <w:left w:val="nil"/>
              <w:bottom w:val="nil"/>
              <w:right w:val="nil"/>
            </w:tcBorders>
            <w:shd w:val="clear" w:color="auto" w:fill="D9D9D9" w:themeFill="background1" w:themeFillShade="D9"/>
            <w:vAlign w:val="center"/>
          </w:tcPr>
          <w:p w14:paraId="57C67EF6" w14:textId="55EEA9FE" w:rsidR="00F3692E" w:rsidRPr="0038600B" w:rsidRDefault="00F3692E" w:rsidP="00F3692E">
            <w:pPr>
              <w:rPr>
                <w:rFonts w:cs="Arial"/>
                <w:color w:val="000000" w:themeColor="text1"/>
                <w:sz w:val="20"/>
                <w:szCs w:val="20"/>
              </w:rPr>
            </w:pPr>
            <w:r w:rsidRPr="0038600B">
              <w:rPr>
                <w:rFonts w:cs="Arial"/>
                <w:color w:val="000000" w:themeColor="text1"/>
                <w:sz w:val="20"/>
                <w:szCs w:val="20"/>
              </w:rPr>
              <w:t>Total Dietary Fibre</w:t>
            </w:r>
          </w:p>
        </w:tc>
        <w:tc>
          <w:tcPr>
            <w:tcW w:w="1412" w:type="dxa"/>
            <w:tcBorders>
              <w:top w:val="nil"/>
              <w:left w:val="nil"/>
              <w:bottom w:val="nil"/>
              <w:right w:val="nil"/>
            </w:tcBorders>
            <w:shd w:val="clear" w:color="auto" w:fill="D9D9D9" w:themeFill="background1" w:themeFillShade="D9"/>
            <w:vAlign w:val="center"/>
          </w:tcPr>
          <w:p w14:paraId="7501861F" w14:textId="5DD60912" w:rsidR="00F3692E" w:rsidRPr="00C90A05" w:rsidRDefault="00F3692E" w:rsidP="00F3692E">
            <w:pPr>
              <w:jc w:val="center"/>
              <w:rPr>
                <w:rFonts w:cs="Arial"/>
                <w:color w:val="000000" w:themeColor="text1"/>
                <w:sz w:val="18"/>
                <w:szCs w:val="20"/>
              </w:rPr>
            </w:pPr>
            <w:r w:rsidRPr="00C90A05">
              <w:rPr>
                <w:sz w:val="18"/>
                <w:szCs w:val="20"/>
              </w:rPr>
              <w:t>17.5 ± 1.64</w:t>
            </w:r>
          </w:p>
        </w:tc>
        <w:tc>
          <w:tcPr>
            <w:tcW w:w="1413" w:type="dxa"/>
            <w:tcBorders>
              <w:top w:val="nil"/>
              <w:left w:val="nil"/>
              <w:bottom w:val="nil"/>
              <w:right w:val="nil"/>
            </w:tcBorders>
            <w:shd w:val="clear" w:color="auto" w:fill="D9D9D9" w:themeFill="background1" w:themeFillShade="D9"/>
            <w:vAlign w:val="center"/>
          </w:tcPr>
          <w:p w14:paraId="56833C89" w14:textId="4D8AC50A" w:rsidR="00F3692E" w:rsidRPr="00C90A05" w:rsidRDefault="00F3692E" w:rsidP="00F3692E">
            <w:pPr>
              <w:jc w:val="center"/>
              <w:rPr>
                <w:rFonts w:cs="Arial"/>
                <w:color w:val="000000" w:themeColor="text1"/>
                <w:sz w:val="18"/>
                <w:szCs w:val="20"/>
              </w:rPr>
            </w:pPr>
            <w:r w:rsidRPr="00C90A05">
              <w:rPr>
                <w:sz w:val="18"/>
              </w:rPr>
              <w:t>17.4 ± 1.68</w:t>
            </w:r>
          </w:p>
        </w:tc>
        <w:tc>
          <w:tcPr>
            <w:tcW w:w="1413" w:type="dxa"/>
            <w:tcBorders>
              <w:top w:val="nil"/>
              <w:left w:val="nil"/>
              <w:bottom w:val="nil"/>
              <w:right w:val="nil"/>
            </w:tcBorders>
            <w:shd w:val="clear" w:color="auto" w:fill="D9D9D9" w:themeFill="background1" w:themeFillShade="D9"/>
            <w:vAlign w:val="center"/>
          </w:tcPr>
          <w:p w14:paraId="03B6358E" w14:textId="0A1ACA7A" w:rsidR="00F3692E" w:rsidRPr="00C90A05" w:rsidRDefault="00F3692E" w:rsidP="00F3692E">
            <w:pPr>
              <w:jc w:val="center"/>
              <w:rPr>
                <w:rFonts w:cs="Arial"/>
                <w:color w:val="000000" w:themeColor="text1"/>
                <w:sz w:val="18"/>
                <w:szCs w:val="20"/>
              </w:rPr>
            </w:pPr>
            <w:r w:rsidRPr="00C90A05">
              <w:rPr>
                <w:sz w:val="18"/>
              </w:rPr>
              <w:t>17.4 ± 2.07</w:t>
            </w:r>
          </w:p>
        </w:tc>
        <w:tc>
          <w:tcPr>
            <w:tcW w:w="1256" w:type="dxa"/>
            <w:tcBorders>
              <w:top w:val="nil"/>
              <w:left w:val="nil"/>
              <w:bottom w:val="nil"/>
              <w:right w:val="nil"/>
            </w:tcBorders>
            <w:shd w:val="clear" w:color="auto" w:fill="D9D9D9" w:themeFill="background1" w:themeFillShade="D9"/>
            <w:vAlign w:val="center"/>
          </w:tcPr>
          <w:p w14:paraId="00313DA4" w14:textId="3D146FAD" w:rsidR="00F3692E" w:rsidRPr="00C90A05" w:rsidRDefault="00F3692E" w:rsidP="00F3692E">
            <w:pPr>
              <w:jc w:val="center"/>
              <w:rPr>
                <w:rFonts w:cs="Arial"/>
                <w:color w:val="000000" w:themeColor="text1"/>
                <w:sz w:val="18"/>
                <w:szCs w:val="20"/>
              </w:rPr>
            </w:pPr>
            <w:r w:rsidRPr="00C90A05">
              <w:rPr>
                <w:sz w:val="18"/>
              </w:rPr>
              <w:t>12.1 - 21.9</w:t>
            </w:r>
          </w:p>
        </w:tc>
        <w:tc>
          <w:tcPr>
            <w:tcW w:w="1498" w:type="dxa"/>
            <w:tcBorders>
              <w:top w:val="nil"/>
              <w:left w:val="nil"/>
              <w:bottom w:val="nil"/>
              <w:right w:val="nil"/>
            </w:tcBorders>
            <w:shd w:val="clear" w:color="auto" w:fill="D9D9D9" w:themeFill="background1" w:themeFillShade="D9"/>
            <w:vAlign w:val="center"/>
          </w:tcPr>
          <w:p w14:paraId="7C1660C4" w14:textId="48C558DB" w:rsidR="00F3692E" w:rsidRPr="00C90A05" w:rsidRDefault="00F3692E" w:rsidP="00F3692E">
            <w:pPr>
              <w:jc w:val="center"/>
              <w:rPr>
                <w:rFonts w:cs="Arial"/>
                <w:color w:val="000000" w:themeColor="text1"/>
                <w:sz w:val="18"/>
                <w:szCs w:val="20"/>
              </w:rPr>
            </w:pPr>
            <w:r w:rsidRPr="00C90A05">
              <w:rPr>
                <w:sz w:val="18"/>
              </w:rPr>
              <w:t>12.2 - 23.6</w:t>
            </w:r>
          </w:p>
        </w:tc>
      </w:tr>
    </w:tbl>
    <w:p w14:paraId="54828A8E" w14:textId="77777777" w:rsidR="00977222" w:rsidRPr="00595714" w:rsidRDefault="00977222" w:rsidP="00977222">
      <w:pPr>
        <w:spacing w:before="60"/>
        <w:rPr>
          <w:color w:val="000000" w:themeColor="text1"/>
          <w:sz w:val="16"/>
        </w:rPr>
      </w:pPr>
      <w:r w:rsidRPr="00595714">
        <w:rPr>
          <w:color w:val="000000" w:themeColor="text1"/>
          <w:sz w:val="16"/>
        </w:rPr>
        <w:t>1. Moisture content is expressed as % fresh weight (% FW) whereas the other values are expressed as % dry weight (% DW). 2. Cells highlighted in blue show statistically significant data.</w:t>
      </w:r>
    </w:p>
    <w:p w14:paraId="2F0A59AE" w14:textId="77777777" w:rsidR="00977222" w:rsidRDefault="00977222" w:rsidP="00221257">
      <w:pPr>
        <w:pStyle w:val="Heading3"/>
      </w:pPr>
      <w:bookmarkStart w:id="219" w:name="_Toc491439851"/>
      <w:bookmarkStart w:id="220" w:name="_Toc493515882"/>
      <w:bookmarkStart w:id="221" w:name="_Toc495489352"/>
      <w:bookmarkStart w:id="222" w:name="_Toc496169805"/>
      <w:r w:rsidRPr="00D53E1B">
        <w:t>5.3.2</w:t>
      </w:r>
      <w:r>
        <w:tab/>
        <w:t>Amino acids</w:t>
      </w:r>
      <w:bookmarkEnd w:id="219"/>
      <w:bookmarkEnd w:id="220"/>
      <w:bookmarkEnd w:id="221"/>
      <w:bookmarkEnd w:id="222"/>
    </w:p>
    <w:p w14:paraId="3B1F4353" w14:textId="459AD647" w:rsidR="00977222" w:rsidRDefault="00C90A05" w:rsidP="00977222">
      <w:pPr>
        <w:rPr>
          <w:color w:val="000000" w:themeColor="text1"/>
        </w:rPr>
      </w:pPr>
      <w:r>
        <w:rPr>
          <w:color w:val="000000" w:themeColor="text1"/>
        </w:rPr>
        <w:t>There were no statistically significant changes in the levels of amino acids in the untreated and treated</w:t>
      </w:r>
      <w:r w:rsidR="00977222">
        <w:rPr>
          <w:color w:val="000000" w:themeColor="text1"/>
        </w:rPr>
        <w:t xml:space="preserve"> </w:t>
      </w:r>
      <w:r w:rsidR="00B53A1F">
        <w:rPr>
          <w:color w:val="000000" w:themeColor="text1"/>
        </w:rPr>
        <w:t>GMB151</w:t>
      </w:r>
      <w:r>
        <w:rPr>
          <w:color w:val="000000" w:themeColor="text1"/>
        </w:rPr>
        <w:t xml:space="preserve"> compared to control (</w:t>
      </w:r>
      <w:hyperlink w:anchor="Table10" w:history="1">
        <w:r w:rsidRPr="00666F68">
          <w:rPr>
            <w:rStyle w:val="Hyperlink"/>
          </w:rPr>
          <w:t>Table 10</w:t>
        </w:r>
      </w:hyperlink>
      <w:r>
        <w:rPr>
          <w:color w:val="000000" w:themeColor="text1"/>
        </w:rPr>
        <w:t>).</w:t>
      </w:r>
    </w:p>
    <w:p w14:paraId="198A2A50" w14:textId="4BA6C291" w:rsidR="00405B45" w:rsidRDefault="00405B45" w:rsidP="00977222">
      <w:pPr>
        <w:rPr>
          <w:color w:val="000000" w:themeColor="text1"/>
        </w:rPr>
      </w:pPr>
    </w:p>
    <w:p w14:paraId="3FCB45D9" w14:textId="77777777" w:rsidR="00405B45" w:rsidRDefault="00405B45" w:rsidP="00405B45">
      <w:pPr>
        <w:pStyle w:val="FSTableTitle"/>
        <w:spacing w:after="120"/>
      </w:pPr>
      <w:bookmarkStart w:id="223" w:name="Table10"/>
      <w:r>
        <w:t>Table 10</w:t>
      </w:r>
      <w:bookmarkEnd w:id="223"/>
      <w:r>
        <w:t xml:space="preserve">: </w:t>
      </w:r>
      <w:r w:rsidRPr="00827952">
        <w:t xml:space="preserve">Comparison of </w:t>
      </w:r>
      <w:r>
        <w:t>Amino Acids (% DW)</w:t>
      </w:r>
    </w:p>
    <w:tbl>
      <w:tblPr>
        <w:tblStyle w:val="TableGrid"/>
        <w:tblW w:w="0" w:type="auto"/>
        <w:tblLook w:val="04A0" w:firstRow="1" w:lastRow="0" w:firstColumn="1" w:lastColumn="0" w:noHBand="0" w:noVBand="1"/>
        <w:tblCaption w:val="Table 10"/>
        <w:tblDescription w:val="Comparison of amino acids"/>
      </w:tblPr>
      <w:tblGrid>
        <w:gridCol w:w="1695"/>
        <w:gridCol w:w="1435"/>
        <w:gridCol w:w="1423"/>
        <w:gridCol w:w="1416"/>
        <w:gridCol w:w="1423"/>
        <w:gridCol w:w="1668"/>
      </w:tblGrid>
      <w:tr w:rsidR="00405B45" w14:paraId="41BAF7C7" w14:textId="77777777" w:rsidTr="00145EF8">
        <w:trPr>
          <w:trHeight w:val="737"/>
          <w:tblHeader/>
        </w:trPr>
        <w:tc>
          <w:tcPr>
            <w:tcW w:w="1695" w:type="dxa"/>
            <w:vMerge w:val="restart"/>
            <w:tcBorders>
              <w:top w:val="nil"/>
              <w:left w:val="nil"/>
              <w:bottom w:val="nil"/>
              <w:right w:val="nil"/>
            </w:tcBorders>
            <w:shd w:val="clear" w:color="auto" w:fill="7F7F7F" w:themeFill="text1" w:themeFillTint="80"/>
            <w:vAlign w:val="center"/>
          </w:tcPr>
          <w:p w14:paraId="744369D3" w14:textId="77777777" w:rsidR="00405B45" w:rsidRPr="00177D50" w:rsidRDefault="00405B45" w:rsidP="0076249A">
            <w:pPr>
              <w:rPr>
                <w:rFonts w:cs="Arial"/>
                <w:b/>
                <w:color w:val="FFFFFF" w:themeColor="background1"/>
                <w:sz w:val="20"/>
                <w:szCs w:val="20"/>
              </w:rPr>
            </w:pPr>
            <w:r w:rsidRPr="00177D50">
              <w:rPr>
                <w:rFonts w:cs="Arial"/>
                <w:b/>
                <w:color w:val="FFFFFF" w:themeColor="background1"/>
                <w:sz w:val="20"/>
                <w:szCs w:val="20"/>
              </w:rPr>
              <w:t>Parameter</w:t>
            </w:r>
          </w:p>
        </w:tc>
        <w:tc>
          <w:tcPr>
            <w:tcW w:w="1435" w:type="dxa"/>
            <w:tcBorders>
              <w:top w:val="nil"/>
              <w:left w:val="nil"/>
              <w:bottom w:val="nil"/>
              <w:right w:val="nil"/>
            </w:tcBorders>
            <w:shd w:val="clear" w:color="auto" w:fill="7F7F7F" w:themeFill="text1" w:themeFillTint="80"/>
            <w:vAlign w:val="center"/>
          </w:tcPr>
          <w:p w14:paraId="593FB53E" w14:textId="77777777" w:rsidR="00405B45" w:rsidRPr="00177D50" w:rsidRDefault="00405B45" w:rsidP="0076249A">
            <w:pPr>
              <w:jc w:val="center"/>
              <w:rPr>
                <w:rFonts w:cs="Arial"/>
                <w:b/>
                <w:color w:val="FFFFFF" w:themeColor="background1"/>
                <w:sz w:val="20"/>
                <w:szCs w:val="20"/>
              </w:rPr>
            </w:pPr>
            <w:r w:rsidRPr="00177D50">
              <w:rPr>
                <w:rFonts w:cs="Arial"/>
                <w:b/>
                <w:color w:val="FFFFFF" w:themeColor="background1"/>
                <w:sz w:val="20"/>
                <w:szCs w:val="20"/>
              </w:rPr>
              <w:t>Non-GM counterpart</w:t>
            </w:r>
          </w:p>
        </w:tc>
        <w:tc>
          <w:tcPr>
            <w:tcW w:w="1423" w:type="dxa"/>
            <w:tcBorders>
              <w:top w:val="nil"/>
              <w:left w:val="nil"/>
              <w:bottom w:val="nil"/>
              <w:right w:val="nil"/>
            </w:tcBorders>
            <w:shd w:val="clear" w:color="auto" w:fill="7F7F7F" w:themeFill="text1" w:themeFillTint="80"/>
            <w:vAlign w:val="center"/>
          </w:tcPr>
          <w:p w14:paraId="7C18F372" w14:textId="77777777" w:rsidR="00405B45" w:rsidRPr="00177D50" w:rsidRDefault="00405B45" w:rsidP="0076249A">
            <w:pPr>
              <w:jc w:val="center"/>
              <w:rPr>
                <w:rFonts w:cs="Arial"/>
                <w:b/>
                <w:color w:val="FFFFFF" w:themeColor="background1"/>
                <w:sz w:val="20"/>
                <w:szCs w:val="20"/>
              </w:rPr>
            </w:pPr>
            <w:r w:rsidRPr="00177D50">
              <w:rPr>
                <w:rFonts w:cs="Arial"/>
                <w:b/>
                <w:color w:val="FFFFFF" w:themeColor="background1"/>
                <w:sz w:val="20"/>
                <w:szCs w:val="20"/>
              </w:rPr>
              <w:t>GMB151 untreated</w:t>
            </w:r>
          </w:p>
        </w:tc>
        <w:tc>
          <w:tcPr>
            <w:tcW w:w="1416" w:type="dxa"/>
            <w:tcBorders>
              <w:top w:val="nil"/>
              <w:left w:val="nil"/>
              <w:bottom w:val="nil"/>
              <w:right w:val="nil"/>
            </w:tcBorders>
            <w:shd w:val="clear" w:color="auto" w:fill="7F7F7F" w:themeFill="text1" w:themeFillTint="80"/>
            <w:vAlign w:val="center"/>
          </w:tcPr>
          <w:p w14:paraId="64405A24" w14:textId="77777777" w:rsidR="00405B45" w:rsidRPr="00177D50" w:rsidRDefault="00405B45" w:rsidP="0076249A">
            <w:pPr>
              <w:jc w:val="center"/>
              <w:rPr>
                <w:rFonts w:cs="Arial"/>
                <w:b/>
                <w:color w:val="FFFFFF" w:themeColor="background1"/>
                <w:sz w:val="20"/>
                <w:szCs w:val="20"/>
              </w:rPr>
            </w:pPr>
            <w:r w:rsidRPr="00177D50">
              <w:rPr>
                <w:rFonts w:cs="Arial"/>
                <w:b/>
                <w:color w:val="FFFFFF" w:themeColor="background1"/>
                <w:sz w:val="20"/>
                <w:szCs w:val="20"/>
              </w:rPr>
              <w:t>GMB151 treated</w:t>
            </w:r>
          </w:p>
        </w:tc>
        <w:tc>
          <w:tcPr>
            <w:tcW w:w="1423" w:type="dxa"/>
            <w:tcBorders>
              <w:top w:val="nil"/>
              <w:left w:val="nil"/>
              <w:bottom w:val="nil"/>
              <w:right w:val="nil"/>
            </w:tcBorders>
            <w:shd w:val="clear" w:color="auto" w:fill="7F7F7F" w:themeFill="text1" w:themeFillTint="80"/>
            <w:vAlign w:val="center"/>
          </w:tcPr>
          <w:p w14:paraId="13CF0F7E" w14:textId="77777777" w:rsidR="00405B45" w:rsidRPr="00177D50" w:rsidRDefault="00405B45" w:rsidP="0076249A">
            <w:pPr>
              <w:jc w:val="center"/>
              <w:rPr>
                <w:rFonts w:cs="Arial"/>
                <w:b/>
                <w:color w:val="FFFFFF" w:themeColor="background1"/>
                <w:sz w:val="20"/>
                <w:szCs w:val="20"/>
              </w:rPr>
            </w:pPr>
            <w:r w:rsidRPr="00177D50">
              <w:rPr>
                <w:rFonts w:cs="Arial"/>
                <w:b/>
                <w:color w:val="FFFFFF" w:themeColor="background1"/>
                <w:sz w:val="20"/>
                <w:szCs w:val="20"/>
              </w:rPr>
              <w:t>Non-GM reference varieties</w:t>
            </w:r>
          </w:p>
        </w:tc>
        <w:tc>
          <w:tcPr>
            <w:tcW w:w="1668" w:type="dxa"/>
            <w:tcBorders>
              <w:top w:val="nil"/>
              <w:left w:val="nil"/>
              <w:bottom w:val="nil"/>
              <w:right w:val="nil"/>
            </w:tcBorders>
            <w:shd w:val="clear" w:color="auto" w:fill="7F7F7F" w:themeFill="text1" w:themeFillTint="80"/>
            <w:vAlign w:val="center"/>
          </w:tcPr>
          <w:p w14:paraId="09920448" w14:textId="77777777" w:rsidR="00405B45" w:rsidRPr="00177D50" w:rsidRDefault="00405B45" w:rsidP="0076249A">
            <w:pPr>
              <w:jc w:val="center"/>
              <w:rPr>
                <w:rFonts w:cs="Arial"/>
                <w:b/>
                <w:color w:val="FFFFFF" w:themeColor="background1"/>
                <w:sz w:val="20"/>
                <w:szCs w:val="20"/>
              </w:rPr>
            </w:pPr>
            <w:r w:rsidRPr="00177D50">
              <w:rPr>
                <w:rFonts w:cs="Arial"/>
                <w:b/>
                <w:color w:val="FFFFFF" w:themeColor="background1"/>
                <w:sz w:val="20"/>
                <w:szCs w:val="20"/>
              </w:rPr>
              <w:t>Tolerance Interval</w:t>
            </w:r>
          </w:p>
        </w:tc>
      </w:tr>
      <w:tr w:rsidR="00405B45" w14:paraId="2B22CB48" w14:textId="77777777" w:rsidTr="00145EF8">
        <w:trPr>
          <w:trHeight w:val="283"/>
          <w:tblHeader/>
        </w:trPr>
        <w:tc>
          <w:tcPr>
            <w:tcW w:w="1695" w:type="dxa"/>
            <w:vMerge/>
            <w:tcBorders>
              <w:top w:val="nil"/>
              <w:left w:val="nil"/>
              <w:bottom w:val="nil"/>
              <w:right w:val="nil"/>
            </w:tcBorders>
            <w:shd w:val="clear" w:color="auto" w:fill="7F7F7F" w:themeFill="text1" w:themeFillTint="80"/>
          </w:tcPr>
          <w:p w14:paraId="3CC05AEB" w14:textId="77777777" w:rsidR="00405B45" w:rsidRPr="00177D50" w:rsidRDefault="00405B45" w:rsidP="0076249A">
            <w:pPr>
              <w:rPr>
                <w:rFonts w:cs="Arial"/>
                <w:b/>
                <w:color w:val="FFFFFF" w:themeColor="background1"/>
                <w:sz w:val="20"/>
                <w:szCs w:val="20"/>
              </w:rPr>
            </w:pPr>
          </w:p>
        </w:tc>
        <w:tc>
          <w:tcPr>
            <w:tcW w:w="1435" w:type="dxa"/>
            <w:tcBorders>
              <w:top w:val="nil"/>
              <w:left w:val="nil"/>
              <w:bottom w:val="nil"/>
              <w:right w:val="nil"/>
            </w:tcBorders>
            <w:shd w:val="clear" w:color="auto" w:fill="7F7F7F" w:themeFill="text1" w:themeFillTint="80"/>
            <w:vAlign w:val="center"/>
          </w:tcPr>
          <w:p w14:paraId="3A6CCA1B" w14:textId="77777777" w:rsidR="00405B45" w:rsidRPr="00177D50" w:rsidRDefault="00405B45" w:rsidP="0076249A">
            <w:pPr>
              <w:jc w:val="center"/>
              <w:rPr>
                <w:rFonts w:cs="Arial"/>
                <w:b/>
                <w:color w:val="FFFFFF" w:themeColor="background1"/>
                <w:sz w:val="20"/>
                <w:szCs w:val="20"/>
              </w:rPr>
            </w:pPr>
            <w:r w:rsidRPr="00177D50">
              <w:rPr>
                <w:rFonts w:cs="Arial"/>
                <w:b/>
                <w:color w:val="FFFFFF" w:themeColor="background1"/>
                <w:sz w:val="20"/>
                <w:szCs w:val="20"/>
              </w:rPr>
              <w:t>Mean ± SD</w:t>
            </w:r>
          </w:p>
        </w:tc>
        <w:tc>
          <w:tcPr>
            <w:tcW w:w="1423" w:type="dxa"/>
            <w:tcBorders>
              <w:top w:val="nil"/>
              <w:left w:val="nil"/>
              <w:bottom w:val="nil"/>
              <w:right w:val="nil"/>
            </w:tcBorders>
            <w:shd w:val="clear" w:color="auto" w:fill="7F7F7F" w:themeFill="text1" w:themeFillTint="80"/>
            <w:vAlign w:val="center"/>
          </w:tcPr>
          <w:p w14:paraId="7A923463" w14:textId="77777777" w:rsidR="00405B45" w:rsidRPr="00177D50" w:rsidRDefault="00405B45" w:rsidP="0076249A">
            <w:pPr>
              <w:jc w:val="center"/>
              <w:rPr>
                <w:rFonts w:cs="Arial"/>
                <w:b/>
                <w:color w:val="FFFFFF" w:themeColor="background1"/>
                <w:sz w:val="20"/>
                <w:szCs w:val="20"/>
              </w:rPr>
            </w:pPr>
            <w:r w:rsidRPr="00177D50">
              <w:rPr>
                <w:rFonts w:cs="Arial"/>
                <w:b/>
                <w:color w:val="FFFFFF" w:themeColor="background1"/>
                <w:sz w:val="20"/>
                <w:szCs w:val="20"/>
              </w:rPr>
              <w:t>Mean ± SD</w:t>
            </w:r>
          </w:p>
        </w:tc>
        <w:tc>
          <w:tcPr>
            <w:tcW w:w="1416" w:type="dxa"/>
            <w:tcBorders>
              <w:top w:val="nil"/>
              <w:left w:val="nil"/>
              <w:bottom w:val="nil"/>
              <w:right w:val="nil"/>
            </w:tcBorders>
            <w:shd w:val="clear" w:color="auto" w:fill="7F7F7F" w:themeFill="text1" w:themeFillTint="80"/>
            <w:vAlign w:val="center"/>
          </w:tcPr>
          <w:p w14:paraId="55F0BE36" w14:textId="77777777" w:rsidR="00405B45" w:rsidRPr="00177D50" w:rsidRDefault="00405B45" w:rsidP="0076249A">
            <w:pPr>
              <w:jc w:val="center"/>
              <w:rPr>
                <w:rFonts w:cs="Arial"/>
                <w:b/>
                <w:color w:val="FFFFFF" w:themeColor="background1"/>
                <w:sz w:val="20"/>
                <w:szCs w:val="20"/>
              </w:rPr>
            </w:pPr>
            <w:r w:rsidRPr="00177D50">
              <w:rPr>
                <w:rFonts w:cs="Arial"/>
                <w:b/>
                <w:color w:val="FFFFFF" w:themeColor="background1"/>
                <w:sz w:val="20"/>
                <w:szCs w:val="20"/>
              </w:rPr>
              <w:t>Mean ± SD</w:t>
            </w:r>
          </w:p>
        </w:tc>
        <w:tc>
          <w:tcPr>
            <w:tcW w:w="1423" w:type="dxa"/>
            <w:tcBorders>
              <w:top w:val="nil"/>
              <w:left w:val="nil"/>
              <w:bottom w:val="nil"/>
              <w:right w:val="nil"/>
            </w:tcBorders>
            <w:shd w:val="clear" w:color="auto" w:fill="7F7F7F" w:themeFill="text1" w:themeFillTint="80"/>
            <w:vAlign w:val="center"/>
          </w:tcPr>
          <w:p w14:paraId="0FBE0E63" w14:textId="77777777" w:rsidR="00405B45" w:rsidRPr="00177D50" w:rsidRDefault="00405B45" w:rsidP="0076249A">
            <w:pPr>
              <w:jc w:val="center"/>
              <w:rPr>
                <w:rFonts w:cs="Arial"/>
                <w:b/>
                <w:color w:val="FFFFFF" w:themeColor="background1"/>
                <w:sz w:val="20"/>
                <w:szCs w:val="20"/>
              </w:rPr>
            </w:pPr>
            <w:r w:rsidRPr="00177D50">
              <w:rPr>
                <w:rFonts w:cs="Arial"/>
                <w:b/>
                <w:color w:val="FFFFFF" w:themeColor="background1"/>
                <w:sz w:val="20"/>
                <w:szCs w:val="20"/>
              </w:rPr>
              <w:t>Min-max</w:t>
            </w:r>
          </w:p>
        </w:tc>
        <w:tc>
          <w:tcPr>
            <w:tcW w:w="1668" w:type="dxa"/>
            <w:tcBorders>
              <w:top w:val="nil"/>
              <w:left w:val="nil"/>
              <w:bottom w:val="nil"/>
              <w:right w:val="nil"/>
            </w:tcBorders>
            <w:shd w:val="clear" w:color="auto" w:fill="7F7F7F" w:themeFill="text1" w:themeFillTint="80"/>
            <w:vAlign w:val="center"/>
          </w:tcPr>
          <w:p w14:paraId="093AAD9B" w14:textId="77777777" w:rsidR="00405B45" w:rsidRPr="00177D50" w:rsidRDefault="00405B45" w:rsidP="0076249A">
            <w:pPr>
              <w:jc w:val="center"/>
              <w:rPr>
                <w:rFonts w:cs="Arial"/>
                <w:b/>
                <w:color w:val="FFFFFF" w:themeColor="background1"/>
                <w:sz w:val="20"/>
                <w:szCs w:val="20"/>
              </w:rPr>
            </w:pPr>
            <w:r w:rsidRPr="00177D50">
              <w:rPr>
                <w:rFonts w:cs="Arial"/>
                <w:b/>
                <w:color w:val="FFFFFF" w:themeColor="background1"/>
                <w:sz w:val="20"/>
                <w:szCs w:val="20"/>
              </w:rPr>
              <w:t>lower-upper</w:t>
            </w:r>
          </w:p>
        </w:tc>
      </w:tr>
      <w:tr w:rsidR="00C90A05" w14:paraId="563C31DA" w14:textId="77777777" w:rsidTr="0076249A">
        <w:trPr>
          <w:trHeight w:val="340"/>
        </w:trPr>
        <w:tc>
          <w:tcPr>
            <w:tcW w:w="1695" w:type="dxa"/>
            <w:tcBorders>
              <w:top w:val="nil"/>
              <w:left w:val="nil"/>
              <w:bottom w:val="nil"/>
              <w:right w:val="nil"/>
            </w:tcBorders>
            <w:vAlign w:val="center"/>
          </w:tcPr>
          <w:p w14:paraId="70DD56EE" w14:textId="77777777" w:rsidR="00C90A05" w:rsidRPr="002433D5" w:rsidRDefault="00C90A05" w:rsidP="00C90A05">
            <w:pPr>
              <w:rPr>
                <w:rFonts w:cs="Arial"/>
                <w:color w:val="000000" w:themeColor="text1"/>
                <w:sz w:val="20"/>
                <w:szCs w:val="18"/>
              </w:rPr>
            </w:pPr>
            <w:r w:rsidRPr="002433D5">
              <w:rPr>
                <w:sz w:val="20"/>
                <w:szCs w:val="18"/>
              </w:rPr>
              <w:t>Alanine</w:t>
            </w:r>
          </w:p>
        </w:tc>
        <w:tc>
          <w:tcPr>
            <w:tcW w:w="1435" w:type="dxa"/>
            <w:tcBorders>
              <w:top w:val="nil"/>
              <w:left w:val="nil"/>
              <w:bottom w:val="nil"/>
              <w:right w:val="nil"/>
            </w:tcBorders>
            <w:vAlign w:val="center"/>
          </w:tcPr>
          <w:p w14:paraId="765CD721" w14:textId="0400A5B2" w:rsidR="00C90A05" w:rsidRPr="00C90A05" w:rsidRDefault="00C90A05" w:rsidP="00C90A05">
            <w:pPr>
              <w:jc w:val="center"/>
              <w:rPr>
                <w:rFonts w:cs="Arial"/>
                <w:color w:val="000000" w:themeColor="text1"/>
                <w:sz w:val="18"/>
                <w:szCs w:val="20"/>
              </w:rPr>
            </w:pPr>
            <w:r w:rsidRPr="00C90A05">
              <w:rPr>
                <w:rFonts w:cs="Arial"/>
                <w:sz w:val="18"/>
                <w:szCs w:val="20"/>
              </w:rPr>
              <w:t>1.74 ± 0.066</w:t>
            </w:r>
          </w:p>
        </w:tc>
        <w:tc>
          <w:tcPr>
            <w:tcW w:w="1423" w:type="dxa"/>
            <w:tcBorders>
              <w:top w:val="nil"/>
              <w:left w:val="nil"/>
              <w:bottom w:val="nil"/>
              <w:right w:val="nil"/>
            </w:tcBorders>
            <w:vAlign w:val="center"/>
          </w:tcPr>
          <w:p w14:paraId="62B5F1C4" w14:textId="793F7E58" w:rsidR="00C90A05" w:rsidRPr="00C90A05" w:rsidRDefault="00C90A05" w:rsidP="00C90A05">
            <w:pPr>
              <w:jc w:val="center"/>
              <w:rPr>
                <w:rFonts w:cs="Arial"/>
                <w:color w:val="000000" w:themeColor="text1"/>
                <w:sz w:val="18"/>
                <w:szCs w:val="20"/>
              </w:rPr>
            </w:pPr>
            <w:r w:rsidRPr="00C90A05">
              <w:rPr>
                <w:rFonts w:cs="Arial"/>
                <w:sz w:val="18"/>
                <w:szCs w:val="20"/>
              </w:rPr>
              <w:t>1.75 ± 0.071</w:t>
            </w:r>
          </w:p>
        </w:tc>
        <w:tc>
          <w:tcPr>
            <w:tcW w:w="1416" w:type="dxa"/>
            <w:tcBorders>
              <w:top w:val="nil"/>
              <w:left w:val="nil"/>
              <w:bottom w:val="nil"/>
              <w:right w:val="nil"/>
            </w:tcBorders>
            <w:vAlign w:val="center"/>
          </w:tcPr>
          <w:p w14:paraId="7908D1E1" w14:textId="6850862C" w:rsidR="00C90A05" w:rsidRPr="00C90A05" w:rsidRDefault="00C90A05" w:rsidP="00C90A05">
            <w:pPr>
              <w:jc w:val="center"/>
              <w:rPr>
                <w:rFonts w:cs="Arial"/>
                <w:color w:val="000000" w:themeColor="text1"/>
                <w:sz w:val="18"/>
                <w:szCs w:val="20"/>
              </w:rPr>
            </w:pPr>
            <w:r w:rsidRPr="00C90A05">
              <w:rPr>
                <w:rFonts w:cs="Arial"/>
                <w:sz w:val="18"/>
                <w:szCs w:val="20"/>
              </w:rPr>
              <w:t>1.76 ± 0.083</w:t>
            </w:r>
          </w:p>
        </w:tc>
        <w:tc>
          <w:tcPr>
            <w:tcW w:w="1423" w:type="dxa"/>
            <w:tcBorders>
              <w:top w:val="nil"/>
              <w:left w:val="nil"/>
              <w:bottom w:val="nil"/>
              <w:right w:val="nil"/>
            </w:tcBorders>
            <w:vAlign w:val="center"/>
          </w:tcPr>
          <w:p w14:paraId="6268913C" w14:textId="363D8CAA" w:rsidR="00C90A05" w:rsidRPr="00C90A05" w:rsidRDefault="00C90A05" w:rsidP="00C90A05">
            <w:pPr>
              <w:jc w:val="center"/>
              <w:rPr>
                <w:rFonts w:cs="Arial"/>
                <w:color w:val="000000" w:themeColor="text1"/>
                <w:sz w:val="18"/>
                <w:szCs w:val="20"/>
              </w:rPr>
            </w:pPr>
            <w:r w:rsidRPr="00C90A05">
              <w:rPr>
                <w:rFonts w:cs="Arial"/>
                <w:sz w:val="18"/>
                <w:szCs w:val="20"/>
              </w:rPr>
              <w:t>1.48 - 2.00</w:t>
            </w:r>
          </w:p>
        </w:tc>
        <w:tc>
          <w:tcPr>
            <w:tcW w:w="1668" w:type="dxa"/>
            <w:tcBorders>
              <w:top w:val="nil"/>
              <w:left w:val="nil"/>
              <w:bottom w:val="nil"/>
              <w:right w:val="nil"/>
            </w:tcBorders>
            <w:vAlign w:val="center"/>
          </w:tcPr>
          <w:p w14:paraId="6098853C" w14:textId="2470F87F" w:rsidR="00C90A05" w:rsidRPr="00C90A05" w:rsidRDefault="00C90A05" w:rsidP="00C90A05">
            <w:pPr>
              <w:jc w:val="center"/>
              <w:rPr>
                <w:rFonts w:cs="Arial"/>
                <w:color w:val="000000" w:themeColor="text1"/>
                <w:sz w:val="18"/>
                <w:szCs w:val="20"/>
              </w:rPr>
            </w:pPr>
            <w:r w:rsidRPr="00C90A05">
              <w:rPr>
                <w:rFonts w:cs="Arial"/>
                <w:sz w:val="18"/>
                <w:szCs w:val="20"/>
              </w:rPr>
              <w:t>1.43 - 1.98</w:t>
            </w:r>
          </w:p>
        </w:tc>
      </w:tr>
      <w:tr w:rsidR="00C90A05" w14:paraId="7DBE3585" w14:textId="77777777" w:rsidTr="0076249A">
        <w:trPr>
          <w:trHeight w:val="340"/>
        </w:trPr>
        <w:tc>
          <w:tcPr>
            <w:tcW w:w="1695" w:type="dxa"/>
            <w:tcBorders>
              <w:top w:val="nil"/>
              <w:left w:val="nil"/>
              <w:bottom w:val="nil"/>
              <w:right w:val="nil"/>
            </w:tcBorders>
            <w:shd w:val="clear" w:color="auto" w:fill="D9D9D9" w:themeFill="background1" w:themeFillShade="D9"/>
            <w:vAlign w:val="center"/>
          </w:tcPr>
          <w:p w14:paraId="5E5156FA" w14:textId="77777777" w:rsidR="00C90A05" w:rsidRPr="002433D5" w:rsidRDefault="00C90A05" w:rsidP="00C90A05">
            <w:pPr>
              <w:rPr>
                <w:rFonts w:cs="Arial"/>
                <w:color w:val="000000" w:themeColor="text1"/>
                <w:sz w:val="20"/>
                <w:szCs w:val="18"/>
              </w:rPr>
            </w:pPr>
            <w:r w:rsidRPr="002433D5">
              <w:rPr>
                <w:sz w:val="20"/>
                <w:szCs w:val="18"/>
              </w:rPr>
              <w:t>Arginine</w:t>
            </w:r>
          </w:p>
        </w:tc>
        <w:tc>
          <w:tcPr>
            <w:tcW w:w="1435" w:type="dxa"/>
            <w:tcBorders>
              <w:top w:val="nil"/>
              <w:left w:val="nil"/>
              <w:bottom w:val="nil"/>
              <w:right w:val="nil"/>
            </w:tcBorders>
            <w:shd w:val="clear" w:color="auto" w:fill="D9D9D9" w:themeFill="background1" w:themeFillShade="D9"/>
            <w:vAlign w:val="center"/>
          </w:tcPr>
          <w:p w14:paraId="7182AC67" w14:textId="27E14FDE" w:rsidR="00C90A05" w:rsidRPr="00C90A05" w:rsidRDefault="00C90A05" w:rsidP="00C90A05">
            <w:pPr>
              <w:jc w:val="center"/>
              <w:rPr>
                <w:rFonts w:cs="Arial"/>
                <w:color w:val="000000" w:themeColor="text1"/>
                <w:sz w:val="18"/>
                <w:szCs w:val="20"/>
              </w:rPr>
            </w:pPr>
            <w:r w:rsidRPr="00C90A05">
              <w:rPr>
                <w:rFonts w:cs="Arial"/>
                <w:sz w:val="18"/>
                <w:szCs w:val="20"/>
              </w:rPr>
              <w:t>2.72 ± 0.182</w:t>
            </w:r>
          </w:p>
        </w:tc>
        <w:tc>
          <w:tcPr>
            <w:tcW w:w="1423" w:type="dxa"/>
            <w:tcBorders>
              <w:top w:val="nil"/>
              <w:left w:val="nil"/>
              <w:bottom w:val="nil"/>
              <w:right w:val="nil"/>
            </w:tcBorders>
            <w:shd w:val="clear" w:color="auto" w:fill="D9D9D9" w:themeFill="background1" w:themeFillShade="D9"/>
            <w:vAlign w:val="center"/>
          </w:tcPr>
          <w:p w14:paraId="3D1CE7B9" w14:textId="13DEFF77" w:rsidR="00C90A05" w:rsidRPr="00C90A05" w:rsidRDefault="00C90A05" w:rsidP="00C90A05">
            <w:pPr>
              <w:jc w:val="center"/>
              <w:rPr>
                <w:rFonts w:cs="Arial"/>
                <w:sz w:val="18"/>
                <w:szCs w:val="20"/>
              </w:rPr>
            </w:pPr>
            <w:r w:rsidRPr="00C90A05">
              <w:rPr>
                <w:rFonts w:cs="Arial"/>
                <w:sz w:val="18"/>
                <w:szCs w:val="20"/>
              </w:rPr>
              <w:t>2.77 ± 0.217</w:t>
            </w:r>
          </w:p>
        </w:tc>
        <w:tc>
          <w:tcPr>
            <w:tcW w:w="1416" w:type="dxa"/>
            <w:tcBorders>
              <w:top w:val="nil"/>
              <w:left w:val="nil"/>
              <w:bottom w:val="nil"/>
              <w:right w:val="nil"/>
            </w:tcBorders>
            <w:shd w:val="clear" w:color="auto" w:fill="D9D9D9" w:themeFill="background1" w:themeFillShade="D9"/>
            <w:vAlign w:val="center"/>
          </w:tcPr>
          <w:p w14:paraId="18F28B3C" w14:textId="74383254" w:rsidR="00C90A05" w:rsidRPr="00C90A05" w:rsidRDefault="00C90A05" w:rsidP="00C90A05">
            <w:pPr>
              <w:jc w:val="center"/>
              <w:rPr>
                <w:rFonts w:cs="Arial"/>
                <w:color w:val="000000" w:themeColor="text1"/>
                <w:sz w:val="18"/>
                <w:szCs w:val="20"/>
              </w:rPr>
            </w:pPr>
            <w:r w:rsidRPr="00C90A05">
              <w:rPr>
                <w:rFonts w:cs="Arial"/>
                <w:sz w:val="18"/>
                <w:szCs w:val="20"/>
              </w:rPr>
              <w:t>2.78 ± 0.245</w:t>
            </w:r>
          </w:p>
        </w:tc>
        <w:tc>
          <w:tcPr>
            <w:tcW w:w="1423" w:type="dxa"/>
            <w:tcBorders>
              <w:top w:val="nil"/>
              <w:left w:val="nil"/>
              <w:bottom w:val="nil"/>
              <w:right w:val="nil"/>
            </w:tcBorders>
            <w:shd w:val="clear" w:color="auto" w:fill="D9D9D9" w:themeFill="background1" w:themeFillShade="D9"/>
            <w:vAlign w:val="center"/>
          </w:tcPr>
          <w:p w14:paraId="2BD44D45" w14:textId="724A2AB9" w:rsidR="00C90A05" w:rsidRPr="00C90A05" w:rsidRDefault="00C90A05" w:rsidP="00C90A05">
            <w:pPr>
              <w:jc w:val="center"/>
              <w:rPr>
                <w:rFonts w:cs="Arial"/>
                <w:color w:val="000000" w:themeColor="text1"/>
                <w:sz w:val="18"/>
                <w:szCs w:val="20"/>
              </w:rPr>
            </w:pPr>
            <w:r w:rsidRPr="00C90A05">
              <w:rPr>
                <w:rFonts w:cs="Arial"/>
                <w:sz w:val="18"/>
                <w:szCs w:val="20"/>
              </w:rPr>
              <w:t>2.05 - 3.48</w:t>
            </w:r>
          </w:p>
        </w:tc>
        <w:tc>
          <w:tcPr>
            <w:tcW w:w="1668" w:type="dxa"/>
            <w:tcBorders>
              <w:top w:val="nil"/>
              <w:left w:val="nil"/>
              <w:bottom w:val="nil"/>
              <w:right w:val="nil"/>
            </w:tcBorders>
            <w:shd w:val="clear" w:color="auto" w:fill="D9D9D9" w:themeFill="background1" w:themeFillShade="D9"/>
            <w:vAlign w:val="center"/>
          </w:tcPr>
          <w:p w14:paraId="0AA52D0E" w14:textId="1CF9F5C8" w:rsidR="00C90A05" w:rsidRPr="00C90A05" w:rsidRDefault="00C90A05" w:rsidP="00C90A05">
            <w:pPr>
              <w:jc w:val="center"/>
              <w:rPr>
                <w:rFonts w:cs="Arial"/>
                <w:color w:val="000000" w:themeColor="text1"/>
                <w:sz w:val="18"/>
                <w:szCs w:val="20"/>
              </w:rPr>
            </w:pPr>
            <w:r w:rsidRPr="00C90A05">
              <w:rPr>
                <w:rFonts w:cs="Arial"/>
                <w:sz w:val="18"/>
                <w:szCs w:val="20"/>
              </w:rPr>
              <w:t>1.90 - 3.50</w:t>
            </w:r>
          </w:p>
        </w:tc>
      </w:tr>
      <w:tr w:rsidR="00C90A05" w14:paraId="6C91D5BE" w14:textId="77777777" w:rsidTr="0076249A">
        <w:trPr>
          <w:trHeight w:val="340"/>
        </w:trPr>
        <w:tc>
          <w:tcPr>
            <w:tcW w:w="1695" w:type="dxa"/>
            <w:tcBorders>
              <w:top w:val="nil"/>
              <w:left w:val="nil"/>
              <w:bottom w:val="nil"/>
              <w:right w:val="nil"/>
            </w:tcBorders>
            <w:vAlign w:val="center"/>
          </w:tcPr>
          <w:p w14:paraId="05181B71" w14:textId="77777777" w:rsidR="00C90A05" w:rsidRPr="002433D5" w:rsidRDefault="00C90A05" w:rsidP="00C90A05">
            <w:pPr>
              <w:rPr>
                <w:rFonts w:cs="Arial"/>
                <w:color w:val="000000" w:themeColor="text1"/>
                <w:sz w:val="20"/>
                <w:szCs w:val="18"/>
              </w:rPr>
            </w:pPr>
            <w:r w:rsidRPr="002433D5">
              <w:rPr>
                <w:sz w:val="20"/>
                <w:szCs w:val="18"/>
              </w:rPr>
              <w:t>Aspartic Acid</w:t>
            </w:r>
          </w:p>
        </w:tc>
        <w:tc>
          <w:tcPr>
            <w:tcW w:w="1435" w:type="dxa"/>
            <w:tcBorders>
              <w:top w:val="nil"/>
              <w:left w:val="nil"/>
              <w:bottom w:val="nil"/>
              <w:right w:val="nil"/>
            </w:tcBorders>
            <w:vAlign w:val="center"/>
          </w:tcPr>
          <w:p w14:paraId="08E175BA" w14:textId="09C1C5F4" w:rsidR="00C90A05" w:rsidRPr="00C90A05" w:rsidRDefault="00C90A05" w:rsidP="00C90A05">
            <w:pPr>
              <w:jc w:val="center"/>
              <w:rPr>
                <w:rFonts w:cs="Arial"/>
                <w:color w:val="000000" w:themeColor="text1"/>
                <w:sz w:val="18"/>
                <w:szCs w:val="20"/>
              </w:rPr>
            </w:pPr>
            <w:r w:rsidRPr="00C90A05">
              <w:rPr>
                <w:rFonts w:cs="Arial"/>
                <w:sz w:val="18"/>
                <w:szCs w:val="20"/>
              </w:rPr>
              <w:t>4.75 ± 0.149</w:t>
            </w:r>
          </w:p>
        </w:tc>
        <w:tc>
          <w:tcPr>
            <w:tcW w:w="1423" w:type="dxa"/>
            <w:tcBorders>
              <w:top w:val="nil"/>
              <w:left w:val="nil"/>
              <w:bottom w:val="nil"/>
              <w:right w:val="nil"/>
            </w:tcBorders>
            <w:vAlign w:val="center"/>
          </w:tcPr>
          <w:p w14:paraId="4C6E1279" w14:textId="6CFB37B1" w:rsidR="00C90A05" w:rsidRPr="00C90A05" w:rsidRDefault="00C90A05" w:rsidP="00C90A05">
            <w:pPr>
              <w:jc w:val="center"/>
              <w:rPr>
                <w:rFonts w:cs="Arial"/>
                <w:color w:val="000000" w:themeColor="text1"/>
                <w:sz w:val="18"/>
                <w:szCs w:val="20"/>
              </w:rPr>
            </w:pPr>
            <w:r w:rsidRPr="00C90A05">
              <w:rPr>
                <w:rFonts w:cs="Arial"/>
                <w:sz w:val="18"/>
                <w:szCs w:val="20"/>
              </w:rPr>
              <w:t>4.84 ± 0.283</w:t>
            </w:r>
          </w:p>
        </w:tc>
        <w:tc>
          <w:tcPr>
            <w:tcW w:w="1416" w:type="dxa"/>
            <w:tcBorders>
              <w:top w:val="nil"/>
              <w:left w:val="nil"/>
              <w:bottom w:val="nil"/>
              <w:right w:val="nil"/>
            </w:tcBorders>
            <w:shd w:val="clear" w:color="auto" w:fill="auto"/>
            <w:vAlign w:val="center"/>
          </w:tcPr>
          <w:p w14:paraId="35C784BF" w14:textId="2AEFB362" w:rsidR="00C90A05" w:rsidRPr="00C90A05" w:rsidRDefault="00C90A05" w:rsidP="00C90A05">
            <w:pPr>
              <w:jc w:val="center"/>
              <w:rPr>
                <w:rFonts w:cs="Arial"/>
                <w:color w:val="000000" w:themeColor="text1"/>
                <w:sz w:val="18"/>
                <w:szCs w:val="20"/>
              </w:rPr>
            </w:pPr>
            <w:r w:rsidRPr="00C90A05">
              <w:rPr>
                <w:rFonts w:cs="Arial"/>
                <w:sz w:val="18"/>
                <w:szCs w:val="20"/>
              </w:rPr>
              <w:t>4.82 ± 0.286</w:t>
            </w:r>
          </w:p>
        </w:tc>
        <w:tc>
          <w:tcPr>
            <w:tcW w:w="1423" w:type="dxa"/>
            <w:tcBorders>
              <w:top w:val="nil"/>
              <w:left w:val="nil"/>
              <w:bottom w:val="nil"/>
              <w:right w:val="nil"/>
            </w:tcBorders>
            <w:vAlign w:val="center"/>
          </w:tcPr>
          <w:p w14:paraId="423C7698" w14:textId="2255FAAA" w:rsidR="00C90A05" w:rsidRPr="00C90A05" w:rsidRDefault="00C90A05" w:rsidP="00C90A05">
            <w:pPr>
              <w:jc w:val="center"/>
              <w:rPr>
                <w:rFonts w:cs="Arial"/>
                <w:color w:val="000000" w:themeColor="text1"/>
                <w:sz w:val="18"/>
                <w:szCs w:val="20"/>
              </w:rPr>
            </w:pPr>
            <w:r w:rsidRPr="00C90A05">
              <w:rPr>
                <w:rFonts w:cs="Arial"/>
                <w:sz w:val="18"/>
                <w:szCs w:val="20"/>
              </w:rPr>
              <w:t>3.93 - 5.66</w:t>
            </w:r>
          </w:p>
        </w:tc>
        <w:tc>
          <w:tcPr>
            <w:tcW w:w="1668" w:type="dxa"/>
            <w:tcBorders>
              <w:top w:val="nil"/>
              <w:left w:val="nil"/>
              <w:bottom w:val="nil"/>
              <w:right w:val="nil"/>
            </w:tcBorders>
            <w:vAlign w:val="center"/>
          </w:tcPr>
          <w:p w14:paraId="249E6B94" w14:textId="3C56C4BC" w:rsidR="00C90A05" w:rsidRPr="00C90A05" w:rsidRDefault="00C90A05" w:rsidP="00C90A05">
            <w:pPr>
              <w:jc w:val="center"/>
              <w:rPr>
                <w:rFonts w:cs="Arial"/>
                <w:color w:val="000000" w:themeColor="text1"/>
                <w:sz w:val="18"/>
                <w:szCs w:val="20"/>
              </w:rPr>
            </w:pPr>
            <w:r w:rsidRPr="00C90A05">
              <w:rPr>
                <w:rFonts w:cs="Arial"/>
                <w:sz w:val="18"/>
                <w:szCs w:val="20"/>
              </w:rPr>
              <w:t>3.68 - 5.80</w:t>
            </w:r>
          </w:p>
        </w:tc>
      </w:tr>
      <w:tr w:rsidR="00C90A05" w14:paraId="38313468" w14:textId="77777777" w:rsidTr="0076249A">
        <w:trPr>
          <w:trHeight w:val="340"/>
        </w:trPr>
        <w:tc>
          <w:tcPr>
            <w:tcW w:w="1695" w:type="dxa"/>
            <w:tcBorders>
              <w:top w:val="nil"/>
              <w:left w:val="nil"/>
              <w:bottom w:val="nil"/>
              <w:right w:val="nil"/>
            </w:tcBorders>
            <w:shd w:val="clear" w:color="auto" w:fill="D9D9D9" w:themeFill="background1" w:themeFillShade="D9"/>
            <w:vAlign w:val="center"/>
          </w:tcPr>
          <w:p w14:paraId="31C1D714" w14:textId="77777777" w:rsidR="00C90A05" w:rsidRPr="002433D5" w:rsidRDefault="00C90A05" w:rsidP="00C90A05">
            <w:pPr>
              <w:rPr>
                <w:rFonts w:cs="Arial"/>
                <w:color w:val="000000" w:themeColor="text1"/>
                <w:sz w:val="20"/>
                <w:szCs w:val="18"/>
              </w:rPr>
            </w:pPr>
            <w:r w:rsidRPr="002433D5">
              <w:rPr>
                <w:sz w:val="20"/>
                <w:szCs w:val="18"/>
              </w:rPr>
              <w:t>Cyst</w:t>
            </w:r>
            <w:r>
              <w:rPr>
                <w:sz w:val="20"/>
                <w:szCs w:val="18"/>
              </w:rPr>
              <w:t>e</w:t>
            </w:r>
            <w:r w:rsidRPr="002433D5">
              <w:rPr>
                <w:sz w:val="20"/>
                <w:szCs w:val="18"/>
              </w:rPr>
              <w:t>ine</w:t>
            </w:r>
          </w:p>
        </w:tc>
        <w:tc>
          <w:tcPr>
            <w:tcW w:w="1435" w:type="dxa"/>
            <w:tcBorders>
              <w:top w:val="nil"/>
              <w:left w:val="nil"/>
              <w:bottom w:val="nil"/>
              <w:right w:val="nil"/>
            </w:tcBorders>
            <w:shd w:val="clear" w:color="auto" w:fill="D9D9D9" w:themeFill="background1" w:themeFillShade="D9"/>
            <w:vAlign w:val="center"/>
          </w:tcPr>
          <w:p w14:paraId="7464FA3F" w14:textId="69D3CDFF" w:rsidR="00C90A05" w:rsidRPr="00C90A05" w:rsidRDefault="00C90A05" w:rsidP="00C90A05">
            <w:pPr>
              <w:jc w:val="center"/>
              <w:rPr>
                <w:rFonts w:cs="Arial"/>
                <w:color w:val="000000" w:themeColor="text1"/>
                <w:sz w:val="18"/>
                <w:szCs w:val="20"/>
              </w:rPr>
            </w:pPr>
            <w:r w:rsidRPr="00C90A05">
              <w:rPr>
                <w:rFonts w:cs="Arial"/>
                <w:sz w:val="18"/>
                <w:szCs w:val="20"/>
              </w:rPr>
              <w:t>0.514 ± 0.053</w:t>
            </w:r>
          </w:p>
        </w:tc>
        <w:tc>
          <w:tcPr>
            <w:tcW w:w="1423" w:type="dxa"/>
            <w:tcBorders>
              <w:top w:val="nil"/>
              <w:left w:val="nil"/>
              <w:bottom w:val="nil"/>
              <w:right w:val="nil"/>
            </w:tcBorders>
            <w:shd w:val="clear" w:color="auto" w:fill="D9D9D9" w:themeFill="background1" w:themeFillShade="D9"/>
            <w:vAlign w:val="center"/>
          </w:tcPr>
          <w:p w14:paraId="60E136E0" w14:textId="7C947BBB" w:rsidR="00C90A05" w:rsidRPr="00C90A05" w:rsidRDefault="00C90A05" w:rsidP="00C90A05">
            <w:pPr>
              <w:jc w:val="center"/>
              <w:rPr>
                <w:rFonts w:cs="Arial"/>
                <w:color w:val="000000" w:themeColor="text1"/>
                <w:sz w:val="18"/>
                <w:szCs w:val="20"/>
              </w:rPr>
            </w:pPr>
            <w:r w:rsidRPr="00C90A05">
              <w:rPr>
                <w:rFonts w:cs="Arial"/>
                <w:sz w:val="18"/>
                <w:szCs w:val="20"/>
              </w:rPr>
              <w:t>0.529 ± 0.051</w:t>
            </w:r>
          </w:p>
        </w:tc>
        <w:tc>
          <w:tcPr>
            <w:tcW w:w="1416" w:type="dxa"/>
            <w:tcBorders>
              <w:top w:val="nil"/>
              <w:left w:val="nil"/>
              <w:bottom w:val="nil"/>
              <w:right w:val="nil"/>
            </w:tcBorders>
            <w:shd w:val="clear" w:color="auto" w:fill="D9D9D9" w:themeFill="background1" w:themeFillShade="D9"/>
            <w:vAlign w:val="center"/>
          </w:tcPr>
          <w:p w14:paraId="3B03101C" w14:textId="48C17B9C" w:rsidR="00C90A05" w:rsidRPr="00C90A05" w:rsidRDefault="00C90A05" w:rsidP="00C90A05">
            <w:pPr>
              <w:jc w:val="center"/>
              <w:rPr>
                <w:rFonts w:cs="Arial"/>
                <w:color w:val="000000" w:themeColor="text1"/>
                <w:sz w:val="18"/>
                <w:szCs w:val="20"/>
              </w:rPr>
            </w:pPr>
            <w:r w:rsidRPr="00C90A05">
              <w:rPr>
                <w:rFonts w:cs="Arial"/>
                <w:sz w:val="18"/>
                <w:szCs w:val="20"/>
              </w:rPr>
              <w:t>0.527 ± 0.055</w:t>
            </w:r>
          </w:p>
        </w:tc>
        <w:tc>
          <w:tcPr>
            <w:tcW w:w="1423" w:type="dxa"/>
            <w:tcBorders>
              <w:top w:val="nil"/>
              <w:left w:val="nil"/>
              <w:bottom w:val="nil"/>
              <w:right w:val="nil"/>
            </w:tcBorders>
            <w:shd w:val="clear" w:color="auto" w:fill="D9D9D9" w:themeFill="background1" w:themeFillShade="D9"/>
            <w:vAlign w:val="center"/>
          </w:tcPr>
          <w:p w14:paraId="7F8DC8C0" w14:textId="577DFE2F" w:rsidR="00C90A05" w:rsidRPr="00C90A05" w:rsidRDefault="00C90A05" w:rsidP="00C90A05">
            <w:pPr>
              <w:jc w:val="center"/>
              <w:rPr>
                <w:rFonts w:cs="Arial"/>
                <w:color w:val="000000" w:themeColor="text1"/>
                <w:sz w:val="18"/>
                <w:szCs w:val="20"/>
              </w:rPr>
            </w:pPr>
            <w:r w:rsidRPr="00C90A05">
              <w:rPr>
                <w:rFonts w:cs="Arial"/>
                <w:sz w:val="18"/>
                <w:szCs w:val="20"/>
              </w:rPr>
              <w:t>0.314 - 0.645</w:t>
            </w:r>
          </w:p>
        </w:tc>
        <w:tc>
          <w:tcPr>
            <w:tcW w:w="1668" w:type="dxa"/>
            <w:tcBorders>
              <w:top w:val="nil"/>
              <w:left w:val="nil"/>
              <w:bottom w:val="nil"/>
              <w:right w:val="nil"/>
            </w:tcBorders>
            <w:shd w:val="clear" w:color="auto" w:fill="D9D9D9" w:themeFill="background1" w:themeFillShade="D9"/>
            <w:vAlign w:val="center"/>
          </w:tcPr>
          <w:p w14:paraId="7D5B71FF" w14:textId="67C63A49" w:rsidR="00C90A05" w:rsidRPr="00C90A05" w:rsidRDefault="00C90A05" w:rsidP="00C90A05">
            <w:pPr>
              <w:jc w:val="center"/>
              <w:rPr>
                <w:rFonts w:cs="Arial"/>
                <w:color w:val="000000" w:themeColor="text1"/>
                <w:sz w:val="18"/>
                <w:szCs w:val="20"/>
              </w:rPr>
            </w:pPr>
            <w:r w:rsidRPr="00C90A05">
              <w:rPr>
                <w:rFonts w:cs="Arial"/>
                <w:sz w:val="18"/>
                <w:szCs w:val="20"/>
              </w:rPr>
              <w:t>0.285 - 0.692</w:t>
            </w:r>
          </w:p>
        </w:tc>
      </w:tr>
      <w:tr w:rsidR="00C90A05" w14:paraId="18E1B10A" w14:textId="77777777" w:rsidTr="0076249A">
        <w:trPr>
          <w:trHeight w:val="340"/>
        </w:trPr>
        <w:tc>
          <w:tcPr>
            <w:tcW w:w="1695" w:type="dxa"/>
            <w:tcBorders>
              <w:top w:val="nil"/>
              <w:left w:val="nil"/>
              <w:bottom w:val="nil"/>
              <w:right w:val="nil"/>
            </w:tcBorders>
            <w:vAlign w:val="center"/>
          </w:tcPr>
          <w:p w14:paraId="52B43B7E" w14:textId="77777777" w:rsidR="00C90A05" w:rsidRPr="002433D5" w:rsidRDefault="00C90A05" w:rsidP="00C90A05">
            <w:pPr>
              <w:rPr>
                <w:rFonts w:cs="Arial"/>
                <w:color w:val="000000" w:themeColor="text1"/>
                <w:sz w:val="20"/>
                <w:szCs w:val="18"/>
              </w:rPr>
            </w:pPr>
            <w:r w:rsidRPr="002433D5">
              <w:rPr>
                <w:sz w:val="20"/>
                <w:szCs w:val="18"/>
              </w:rPr>
              <w:t>Glutamic Acid</w:t>
            </w:r>
          </w:p>
        </w:tc>
        <w:tc>
          <w:tcPr>
            <w:tcW w:w="1435" w:type="dxa"/>
            <w:tcBorders>
              <w:top w:val="nil"/>
              <w:left w:val="nil"/>
              <w:bottom w:val="nil"/>
              <w:right w:val="nil"/>
            </w:tcBorders>
            <w:vAlign w:val="center"/>
          </w:tcPr>
          <w:p w14:paraId="675B3613" w14:textId="7D929DDA" w:rsidR="00C90A05" w:rsidRPr="00C90A05" w:rsidRDefault="00C90A05" w:rsidP="00C90A05">
            <w:pPr>
              <w:jc w:val="center"/>
              <w:rPr>
                <w:rFonts w:cs="Arial"/>
                <w:color w:val="000000" w:themeColor="text1"/>
                <w:sz w:val="18"/>
                <w:szCs w:val="20"/>
              </w:rPr>
            </w:pPr>
            <w:r w:rsidRPr="00C90A05">
              <w:rPr>
                <w:rFonts w:cs="Arial"/>
                <w:sz w:val="18"/>
                <w:szCs w:val="20"/>
              </w:rPr>
              <w:t>7.49 ± 0.25</w:t>
            </w:r>
          </w:p>
        </w:tc>
        <w:tc>
          <w:tcPr>
            <w:tcW w:w="1423" w:type="dxa"/>
            <w:tcBorders>
              <w:top w:val="nil"/>
              <w:left w:val="nil"/>
              <w:bottom w:val="nil"/>
              <w:right w:val="nil"/>
            </w:tcBorders>
            <w:shd w:val="clear" w:color="auto" w:fill="FFFFFF" w:themeFill="background1"/>
            <w:vAlign w:val="center"/>
          </w:tcPr>
          <w:p w14:paraId="313666EC" w14:textId="675BADA4" w:rsidR="00C90A05" w:rsidRPr="00C90A05" w:rsidRDefault="00C90A05" w:rsidP="00C90A05">
            <w:pPr>
              <w:jc w:val="center"/>
              <w:rPr>
                <w:rFonts w:cs="Arial"/>
                <w:color w:val="000000" w:themeColor="text1"/>
                <w:sz w:val="18"/>
                <w:szCs w:val="20"/>
              </w:rPr>
            </w:pPr>
            <w:r w:rsidRPr="00C90A05">
              <w:rPr>
                <w:rFonts w:cs="Arial"/>
                <w:sz w:val="18"/>
                <w:szCs w:val="20"/>
              </w:rPr>
              <w:t>7.68 ± 0.43</w:t>
            </w:r>
          </w:p>
        </w:tc>
        <w:tc>
          <w:tcPr>
            <w:tcW w:w="1416" w:type="dxa"/>
            <w:tcBorders>
              <w:top w:val="nil"/>
              <w:left w:val="nil"/>
              <w:bottom w:val="nil"/>
              <w:right w:val="nil"/>
            </w:tcBorders>
            <w:shd w:val="clear" w:color="auto" w:fill="auto"/>
            <w:vAlign w:val="center"/>
          </w:tcPr>
          <w:p w14:paraId="0F17346B" w14:textId="41AFF4AD" w:rsidR="00C90A05" w:rsidRPr="00C90A05" w:rsidRDefault="00C90A05" w:rsidP="00C90A05">
            <w:pPr>
              <w:jc w:val="center"/>
              <w:rPr>
                <w:rFonts w:cs="Arial"/>
                <w:color w:val="000000" w:themeColor="text1"/>
                <w:sz w:val="18"/>
                <w:szCs w:val="20"/>
              </w:rPr>
            </w:pPr>
            <w:r w:rsidRPr="00C90A05">
              <w:rPr>
                <w:rFonts w:cs="Arial"/>
                <w:sz w:val="18"/>
                <w:szCs w:val="20"/>
              </w:rPr>
              <w:t>7.64 ± 0.46</w:t>
            </w:r>
          </w:p>
        </w:tc>
        <w:tc>
          <w:tcPr>
            <w:tcW w:w="1423" w:type="dxa"/>
            <w:tcBorders>
              <w:top w:val="nil"/>
              <w:left w:val="nil"/>
              <w:bottom w:val="nil"/>
              <w:right w:val="nil"/>
            </w:tcBorders>
            <w:vAlign w:val="center"/>
          </w:tcPr>
          <w:p w14:paraId="0842A7B2" w14:textId="178D3448" w:rsidR="00C90A05" w:rsidRPr="00C90A05" w:rsidRDefault="00C90A05" w:rsidP="00C90A05">
            <w:pPr>
              <w:jc w:val="center"/>
              <w:rPr>
                <w:rFonts w:cs="Arial"/>
                <w:color w:val="000000" w:themeColor="text1"/>
                <w:sz w:val="18"/>
                <w:szCs w:val="20"/>
              </w:rPr>
            </w:pPr>
            <w:r w:rsidRPr="00C90A05">
              <w:rPr>
                <w:rFonts w:cs="Arial"/>
                <w:sz w:val="18"/>
                <w:szCs w:val="20"/>
              </w:rPr>
              <w:t>6.15 - 8.81</w:t>
            </w:r>
          </w:p>
        </w:tc>
        <w:tc>
          <w:tcPr>
            <w:tcW w:w="1668" w:type="dxa"/>
            <w:tcBorders>
              <w:top w:val="nil"/>
              <w:left w:val="nil"/>
              <w:bottom w:val="nil"/>
              <w:right w:val="nil"/>
            </w:tcBorders>
            <w:vAlign w:val="center"/>
          </w:tcPr>
          <w:p w14:paraId="0027FB56" w14:textId="3AB6E221" w:rsidR="00C90A05" w:rsidRPr="00C90A05" w:rsidRDefault="00C90A05" w:rsidP="00C90A05">
            <w:pPr>
              <w:jc w:val="center"/>
              <w:rPr>
                <w:rFonts w:cs="Arial"/>
                <w:color w:val="000000" w:themeColor="text1"/>
                <w:sz w:val="18"/>
                <w:szCs w:val="20"/>
              </w:rPr>
            </w:pPr>
            <w:r w:rsidRPr="00C90A05">
              <w:rPr>
                <w:rFonts w:cs="Arial"/>
                <w:sz w:val="18"/>
                <w:szCs w:val="20"/>
              </w:rPr>
              <w:t>5.85 - 9.21</w:t>
            </w:r>
          </w:p>
        </w:tc>
      </w:tr>
      <w:tr w:rsidR="00C90A05" w14:paraId="33D391E0" w14:textId="77777777" w:rsidTr="0076249A">
        <w:trPr>
          <w:trHeight w:val="340"/>
        </w:trPr>
        <w:tc>
          <w:tcPr>
            <w:tcW w:w="1695" w:type="dxa"/>
            <w:tcBorders>
              <w:top w:val="nil"/>
              <w:left w:val="nil"/>
              <w:bottom w:val="nil"/>
              <w:right w:val="nil"/>
            </w:tcBorders>
            <w:shd w:val="clear" w:color="auto" w:fill="D9D9D9" w:themeFill="background1" w:themeFillShade="D9"/>
            <w:vAlign w:val="center"/>
          </w:tcPr>
          <w:p w14:paraId="25519937" w14:textId="77777777" w:rsidR="00C90A05" w:rsidRPr="002433D5" w:rsidRDefault="00C90A05" w:rsidP="00C90A05">
            <w:pPr>
              <w:rPr>
                <w:rFonts w:cs="Arial"/>
                <w:color w:val="000000" w:themeColor="text1"/>
                <w:sz w:val="20"/>
                <w:szCs w:val="18"/>
              </w:rPr>
            </w:pPr>
            <w:r w:rsidRPr="002433D5">
              <w:rPr>
                <w:sz w:val="20"/>
                <w:szCs w:val="18"/>
              </w:rPr>
              <w:t>Glycine</w:t>
            </w:r>
          </w:p>
        </w:tc>
        <w:tc>
          <w:tcPr>
            <w:tcW w:w="1435" w:type="dxa"/>
            <w:tcBorders>
              <w:top w:val="nil"/>
              <w:left w:val="nil"/>
              <w:bottom w:val="nil"/>
              <w:right w:val="nil"/>
            </w:tcBorders>
            <w:shd w:val="clear" w:color="auto" w:fill="D9D9D9" w:themeFill="background1" w:themeFillShade="D9"/>
            <w:vAlign w:val="center"/>
          </w:tcPr>
          <w:p w14:paraId="466F86E3" w14:textId="7CBEBBD0" w:rsidR="00C90A05" w:rsidRPr="00C90A05" w:rsidRDefault="00C90A05" w:rsidP="00C90A05">
            <w:pPr>
              <w:jc w:val="center"/>
              <w:rPr>
                <w:rFonts w:cs="Arial"/>
                <w:color w:val="000000" w:themeColor="text1"/>
                <w:sz w:val="18"/>
                <w:szCs w:val="20"/>
              </w:rPr>
            </w:pPr>
            <w:r w:rsidRPr="00C90A05">
              <w:rPr>
                <w:rFonts w:cs="Arial"/>
                <w:sz w:val="18"/>
                <w:szCs w:val="20"/>
              </w:rPr>
              <w:t>1.76 ± 0.09</w:t>
            </w:r>
          </w:p>
        </w:tc>
        <w:tc>
          <w:tcPr>
            <w:tcW w:w="1423" w:type="dxa"/>
            <w:tcBorders>
              <w:top w:val="nil"/>
              <w:left w:val="nil"/>
              <w:bottom w:val="nil"/>
              <w:right w:val="nil"/>
            </w:tcBorders>
            <w:shd w:val="clear" w:color="auto" w:fill="D9D9D9" w:themeFill="background1" w:themeFillShade="D9"/>
            <w:vAlign w:val="center"/>
          </w:tcPr>
          <w:p w14:paraId="3F968F74" w14:textId="43215E65" w:rsidR="00C90A05" w:rsidRPr="00C90A05" w:rsidRDefault="00C90A05" w:rsidP="00C90A05">
            <w:pPr>
              <w:jc w:val="center"/>
              <w:rPr>
                <w:rFonts w:cs="Arial"/>
                <w:color w:val="000000" w:themeColor="text1"/>
                <w:sz w:val="18"/>
                <w:szCs w:val="20"/>
              </w:rPr>
            </w:pPr>
            <w:r w:rsidRPr="00C90A05">
              <w:rPr>
                <w:rFonts w:cs="Arial"/>
                <w:sz w:val="18"/>
                <w:szCs w:val="20"/>
              </w:rPr>
              <w:t>1.79 ± 0.10</w:t>
            </w:r>
          </w:p>
        </w:tc>
        <w:tc>
          <w:tcPr>
            <w:tcW w:w="1416" w:type="dxa"/>
            <w:tcBorders>
              <w:top w:val="nil"/>
              <w:left w:val="nil"/>
              <w:bottom w:val="nil"/>
              <w:right w:val="nil"/>
            </w:tcBorders>
            <w:shd w:val="clear" w:color="auto" w:fill="D9D9D9" w:themeFill="background1" w:themeFillShade="D9"/>
            <w:vAlign w:val="center"/>
          </w:tcPr>
          <w:p w14:paraId="0E0A1894" w14:textId="164A64FF" w:rsidR="00C90A05" w:rsidRPr="00C90A05" w:rsidRDefault="00C90A05" w:rsidP="00C90A05">
            <w:pPr>
              <w:jc w:val="center"/>
              <w:rPr>
                <w:rFonts w:cs="Arial"/>
                <w:color w:val="000000" w:themeColor="text1"/>
                <w:sz w:val="18"/>
                <w:szCs w:val="20"/>
              </w:rPr>
            </w:pPr>
            <w:r w:rsidRPr="00C90A05">
              <w:rPr>
                <w:rFonts w:cs="Arial"/>
                <w:sz w:val="18"/>
                <w:szCs w:val="20"/>
              </w:rPr>
              <w:t>1.79 ± 0.11</w:t>
            </w:r>
          </w:p>
        </w:tc>
        <w:tc>
          <w:tcPr>
            <w:tcW w:w="1423" w:type="dxa"/>
            <w:tcBorders>
              <w:top w:val="nil"/>
              <w:left w:val="nil"/>
              <w:bottom w:val="nil"/>
              <w:right w:val="nil"/>
            </w:tcBorders>
            <w:shd w:val="clear" w:color="auto" w:fill="D9D9D9" w:themeFill="background1" w:themeFillShade="D9"/>
            <w:vAlign w:val="center"/>
          </w:tcPr>
          <w:p w14:paraId="345DAB86" w14:textId="1F1B7484" w:rsidR="00C90A05" w:rsidRPr="00C90A05" w:rsidRDefault="00C90A05" w:rsidP="00C90A05">
            <w:pPr>
              <w:jc w:val="center"/>
              <w:rPr>
                <w:rFonts w:cs="Arial"/>
                <w:color w:val="000000" w:themeColor="text1"/>
                <w:sz w:val="18"/>
                <w:szCs w:val="20"/>
              </w:rPr>
            </w:pPr>
            <w:r w:rsidRPr="00C90A05">
              <w:rPr>
                <w:rFonts w:cs="Arial"/>
                <w:sz w:val="18"/>
                <w:szCs w:val="20"/>
              </w:rPr>
              <w:t>1.41 - 1.96</w:t>
            </w:r>
          </w:p>
        </w:tc>
        <w:tc>
          <w:tcPr>
            <w:tcW w:w="1668" w:type="dxa"/>
            <w:tcBorders>
              <w:top w:val="nil"/>
              <w:left w:val="nil"/>
              <w:bottom w:val="nil"/>
              <w:right w:val="nil"/>
            </w:tcBorders>
            <w:shd w:val="clear" w:color="auto" w:fill="D9D9D9" w:themeFill="background1" w:themeFillShade="D9"/>
            <w:vAlign w:val="center"/>
          </w:tcPr>
          <w:p w14:paraId="088A11A5" w14:textId="150DDD23" w:rsidR="00C90A05" w:rsidRPr="00C90A05" w:rsidRDefault="00C90A05" w:rsidP="00C90A05">
            <w:pPr>
              <w:jc w:val="center"/>
              <w:rPr>
                <w:rFonts w:cs="Arial"/>
                <w:color w:val="000000" w:themeColor="text1"/>
                <w:sz w:val="18"/>
                <w:szCs w:val="20"/>
              </w:rPr>
            </w:pPr>
            <w:r w:rsidRPr="00C90A05">
              <w:rPr>
                <w:rFonts w:cs="Arial"/>
                <w:sz w:val="18"/>
                <w:szCs w:val="20"/>
              </w:rPr>
              <w:t>1.40 - 2.06</w:t>
            </w:r>
          </w:p>
        </w:tc>
      </w:tr>
      <w:tr w:rsidR="00C90A05" w14:paraId="4756E63F" w14:textId="77777777" w:rsidTr="0076249A">
        <w:trPr>
          <w:trHeight w:val="340"/>
        </w:trPr>
        <w:tc>
          <w:tcPr>
            <w:tcW w:w="1695" w:type="dxa"/>
            <w:tcBorders>
              <w:top w:val="nil"/>
              <w:left w:val="nil"/>
              <w:bottom w:val="nil"/>
              <w:right w:val="nil"/>
            </w:tcBorders>
            <w:vAlign w:val="center"/>
          </w:tcPr>
          <w:p w14:paraId="56901B49" w14:textId="77777777" w:rsidR="00C90A05" w:rsidRPr="002433D5" w:rsidRDefault="00C90A05" w:rsidP="00C90A05">
            <w:pPr>
              <w:rPr>
                <w:rFonts w:cs="Arial"/>
                <w:color w:val="000000" w:themeColor="text1"/>
                <w:sz w:val="20"/>
                <w:szCs w:val="18"/>
              </w:rPr>
            </w:pPr>
            <w:r w:rsidRPr="002433D5">
              <w:rPr>
                <w:sz w:val="20"/>
                <w:szCs w:val="18"/>
              </w:rPr>
              <w:t>Histidine</w:t>
            </w:r>
          </w:p>
        </w:tc>
        <w:tc>
          <w:tcPr>
            <w:tcW w:w="1435" w:type="dxa"/>
            <w:tcBorders>
              <w:top w:val="nil"/>
              <w:left w:val="nil"/>
              <w:bottom w:val="nil"/>
              <w:right w:val="nil"/>
            </w:tcBorders>
            <w:vAlign w:val="center"/>
          </w:tcPr>
          <w:p w14:paraId="7173A259" w14:textId="3C381213" w:rsidR="00C90A05" w:rsidRPr="00C90A05" w:rsidRDefault="00C90A05" w:rsidP="00C90A05">
            <w:pPr>
              <w:jc w:val="center"/>
              <w:rPr>
                <w:rFonts w:cs="Arial"/>
                <w:color w:val="000000" w:themeColor="text1"/>
                <w:sz w:val="18"/>
                <w:szCs w:val="20"/>
              </w:rPr>
            </w:pPr>
            <w:r w:rsidRPr="00C90A05">
              <w:rPr>
                <w:rFonts w:cs="Arial"/>
                <w:sz w:val="18"/>
                <w:szCs w:val="20"/>
              </w:rPr>
              <w:t>1.08 ± 0.067</w:t>
            </w:r>
          </w:p>
        </w:tc>
        <w:tc>
          <w:tcPr>
            <w:tcW w:w="1423" w:type="dxa"/>
            <w:tcBorders>
              <w:top w:val="nil"/>
              <w:left w:val="nil"/>
              <w:bottom w:val="nil"/>
              <w:right w:val="nil"/>
            </w:tcBorders>
            <w:vAlign w:val="center"/>
          </w:tcPr>
          <w:p w14:paraId="7C282092" w14:textId="722F1F28" w:rsidR="00C90A05" w:rsidRPr="00C90A05" w:rsidRDefault="00C90A05" w:rsidP="00C90A05">
            <w:pPr>
              <w:jc w:val="center"/>
              <w:rPr>
                <w:rFonts w:cs="Arial"/>
                <w:color w:val="000000" w:themeColor="text1"/>
                <w:sz w:val="18"/>
                <w:szCs w:val="20"/>
              </w:rPr>
            </w:pPr>
            <w:r w:rsidRPr="00C90A05">
              <w:rPr>
                <w:rFonts w:cs="Arial"/>
                <w:sz w:val="18"/>
                <w:szCs w:val="20"/>
              </w:rPr>
              <w:t>1.09 ± 0.076</w:t>
            </w:r>
          </w:p>
        </w:tc>
        <w:tc>
          <w:tcPr>
            <w:tcW w:w="1416" w:type="dxa"/>
            <w:tcBorders>
              <w:top w:val="nil"/>
              <w:left w:val="nil"/>
              <w:bottom w:val="nil"/>
              <w:right w:val="nil"/>
            </w:tcBorders>
            <w:shd w:val="clear" w:color="auto" w:fill="auto"/>
            <w:vAlign w:val="center"/>
          </w:tcPr>
          <w:p w14:paraId="2A768524" w14:textId="3F113D70" w:rsidR="00C90A05" w:rsidRPr="00C90A05" w:rsidRDefault="00C90A05" w:rsidP="00C90A05">
            <w:pPr>
              <w:jc w:val="center"/>
              <w:rPr>
                <w:rFonts w:cs="Arial"/>
                <w:color w:val="000000" w:themeColor="text1"/>
                <w:sz w:val="18"/>
                <w:szCs w:val="20"/>
              </w:rPr>
            </w:pPr>
            <w:r w:rsidRPr="00C90A05">
              <w:rPr>
                <w:rFonts w:cs="Arial"/>
                <w:sz w:val="18"/>
                <w:szCs w:val="20"/>
              </w:rPr>
              <w:t>1.08 ± 0.091</w:t>
            </w:r>
          </w:p>
        </w:tc>
        <w:tc>
          <w:tcPr>
            <w:tcW w:w="1423" w:type="dxa"/>
            <w:tcBorders>
              <w:top w:val="nil"/>
              <w:left w:val="nil"/>
              <w:bottom w:val="nil"/>
              <w:right w:val="nil"/>
            </w:tcBorders>
            <w:vAlign w:val="center"/>
          </w:tcPr>
          <w:p w14:paraId="1FDE728C" w14:textId="7B51B4EE" w:rsidR="00C90A05" w:rsidRPr="00C90A05" w:rsidRDefault="00C90A05" w:rsidP="00C90A05">
            <w:pPr>
              <w:jc w:val="center"/>
              <w:rPr>
                <w:rFonts w:cs="Arial"/>
                <w:color w:val="000000" w:themeColor="text1"/>
                <w:sz w:val="18"/>
                <w:szCs w:val="20"/>
              </w:rPr>
            </w:pPr>
            <w:r w:rsidRPr="00C90A05">
              <w:rPr>
                <w:rFonts w:cs="Arial"/>
                <w:sz w:val="18"/>
                <w:szCs w:val="20"/>
              </w:rPr>
              <w:t>0.845 - 1.25</w:t>
            </w:r>
          </w:p>
        </w:tc>
        <w:tc>
          <w:tcPr>
            <w:tcW w:w="1668" w:type="dxa"/>
            <w:tcBorders>
              <w:top w:val="nil"/>
              <w:left w:val="nil"/>
              <w:bottom w:val="nil"/>
              <w:right w:val="nil"/>
            </w:tcBorders>
            <w:vAlign w:val="center"/>
          </w:tcPr>
          <w:p w14:paraId="33DD2EBD" w14:textId="4FE956B0" w:rsidR="00C90A05" w:rsidRPr="00C90A05" w:rsidRDefault="00C90A05" w:rsidP="00C90A05">
            <w:pPr>
              <w:jc w:val="center"/>
              <w:rPr>
                <w:rFonts w:cs="Arial"/>
                <w:color w:val="000000" w:themeColor="text1"/>
                <w:sz w:val="18"/>
                <w:szCs w:val="20"/>
              </w:rPr>
            </w:pPr>
            <w:r w:rsidRPr="00C90A05">
              <w:rPr>
                <w:rFonts w:cs="Arial"/>
                <w:sz w:val="18"/>
                <w:szCs w:val="20"/>
              </w:rPr>
              <w:t>0.815 - 1.32</w:t>
            </w:r>
          </w:p>
        </w:tc>
      </w:tr>
      <w:tr w:rsidR="00C90A05" w14:paraId="5033B336" w14:textId="77777777" w:rsidTr="0076249A">
        <w:trPr>
          <w:trHeight w:val="340"/>
        </w:trPr>
        <w:tc>
          <w:tcPr>
            <w:tcW w:w="1695" w:type="dxa"/>
            <w:tcBorders>
              <w:top w:val="nil"/>
              <w:left w:val="nil"/>
              <w:bottom w:val="nil"/>
              <w:right w:val="nil"/>
            </w:tcBorders>
            <w:shd w:val="clear" w:color="auto" w:fill="D9D9D9" w:themeFill="background1" w:themeFillShade="D9"/>
            <w:vAlign w:val="center"/>
          </w:tcPr>
          <w:p w14:paraId="6BCBD3B4" w14:textId="77777777" w:rsidR="00C90A05" w:rsidRPr="002433D5" w:rsidRDefault="00C90A05" w:rsidP="00C90A05">
            <w:pPr>
              <w:rPr>
                <w:rFonts w:cs="Arial"/>
                <w:color w:val="000000" w:themeColor="text1"/>
                <w:sz w:val="20"/>
                <w:szCs w:val="18"/>
              </w:rPr>
            </w:pPr>
            <w:r w:rsidRPr="002433D5">
              <w:rPr>
                <w:sz w:val="20"/>
                <w:szCs w:val="18"/>
              </w:rPr>
              <w:t>Isoleucine</w:t>
            </w:r>
          </w:p>
        </w:tc>
        <w:tc>
          <w:tcPr>
            <w:tcW w:w="1435" w:type="dxa"/>
            <w:tcBorders>
              <w:top w:val="nil"/>
              <w:left w:val="nil"/>
              <w:bottom w:val="nil"/>
              <w:right w:val="nil"/>
            </w:tcBorders>
            <w:shd w:val="clear" w:color="auto" w:fill="D9D9D9" w:themeFill="background1" w:themeFillShade="D9"/>
            <w:vAlign w:val="center"/>
          </w:tcPr>
          <w:p w14:paraId="058591E9" w14:textId="4E1A31F3" w:rsidR="00C90A05" w:rsidRPr="00C90A05" w:rsidRDefault="00C90A05" w:rsidP="00C90A05">
            <w:pPr>
              <w:jc w:val="center"/>
              <w:rPr>
                <w:rFonts w:cs="Arial"/>
                <w:color w:val="000000" w:themeColor="text1"/>
                <w:sz w:val="18"/>
                <w:szCs w:val="20"/>
              </w:rPr>
            </w:pPr>
            <w:r w:rsidRPr="00C90A05">
              <w:rPr>
                <w:rFonts w:cs="Arial"/>
                <w:sz w:val="18"/>
                <w:szCs w:val="20"/>
              </w:rPr>
              <w:t>1.88 ± 0.081</w:t>
            </w:r>
          </w:p>
        </w:tc>
        <w:tc>
          <w:tcPr>
            <w:tcW w:w="1423" w:type="dxa"/>
            <w:tcBorders>
              <w:top w:val="nil"/>
              <w:left w:val="nil"/>
              <w:bottom w:val="nil"/>
              <w:right w:val="nil"/>
            </w:tcBorders>
            <w:shd w:val="clear" w:color="auto" w:fill="D9D9D9" w:themeFill="background1" w:themeFillShade="D9"/>
            <w:vAlign w:val="center"/>
          </w:tcPr>
          <w:p w14:paraId="703B5250" w14:textId="14CB32E7" w:rsidR="00C90A05" w:rsidRPr="00C90A05" w:rsidRDefault="00C90A05" w:rsidP="00C90A05">
            <w:pPr>
              <w:jc w:val="center"/>
              <w:rPr>
                <w:rFonts w:cs="Arial"/>
                <w:color w:val="000000" w:themeColor="text1"/>
                <w:sz w:val="18"/>
                <w:szCs w:val="20"/>
              </w:rPr>
            </w:pPr>
            <w:r w:rsidRPr="00C90A05">
              <w:rPr>
                <w:rFonts w:cs="Arial"/>
                <w:sz w:val="18"/>
                <w:szCs w:val="20"/>
              </w:rPr>
              <w:t>1.90 ± 0.088</w:t>
            </w:r>
          </w:p>
        </w:tc>
        <w:tc>
          <w:tcPr>
            <w:tcW w:w="1416" w:type="dxa"/>
            <w:tcBorders>
              <w:top w:val="nil"/>
              <w:left w:val="nil"/>
              <w:bottom w:val="nil"/>
              <w:right w:val="nil"/>
            </w:tcBorders>
            <w:shd w:val="clear" w:color="auto" w:fill="D9D9D9" w:themeFill="background1" w:themeFillShade="D9"/>
            <w:vAlign w:val="center"/>
          </w:tcPr>
          <w:p w14:paraId="2ED1A985" w14:textId="136ED160" w:rsidR="00C90A05" w:rsidRPr="00C90A05" w:rsidRDefault="00C90A05" w:rsidP="00C90A05">
            <w:pPr>
              <w:jc w:val="center"/>
              <w:rPr>
                <w:rFonts w:cs="Arial"/>
                <w:color w:val="000000" w:themeColor="text1"/>
                <w:sz w:val="18"/>
                <w:szCs w:val="20"/>
              </w:rPr>
            </w:pPr>
            <w:r w:rsidRPr="00C90A05">
              <w:rPr>
                <w:rFonts w:cs="Arial"/>
                <w:sz w:val="18"/>
                <w:szCs w:val="20"/>
              </w:rPr>
              <w:t>1.90 ± 0.100</w:t>
            </w:r>
          </w:p>
        </w:tc>
        <w:tc>
          <w:tcPr>
            <w:tcW w:w="1423" w:type="dxa"/>
            <w:tcBorders>
              <w:top w:val="nil"/>
              <w:left w:val="nil"/>
              <w:bottom w:val="nil"/>
              <w:right w:val="nil"/>
            </w:tcBorders>
            <w:shd w:val="clear" w:color="auto" w:fill="D9D9D9" w:themeFill="background1" w:themeFillShade="D9"/>
            <w:vAlign w:val="center"/>
          </w:tcPr>
          <w:p w14:paraId="3C6120DE" w14:textId="08970B85" w:rsidR="00C90A05" w:rsidRPr="00C90A05" w:rsidRDefault="00C90A05" w:rsidP="00C90A05">
            <w:pPr>
              <w:jc w:val="center"/>
              <w:rPr>
                <w:rFonts w:cs="Arial"/>
                <w:color w:val="000000" w:themeColor="text1"/>
                <w:sz w:val="18"/>
                <w:szCs w:val="20"/>
              </w:rPr>
            </w:pPr>
            <w:r w:rsidRPr="00C90A05">
              <w:rPr>
                <w:rFonts w:cs="Arial"/>
                <w:sz w:val="18"/>
                <w:szCs w:val="20"/>
              </w:rPr>
              <w:t>1.52 - 2.13</w:t>
            </w:r>
          </w:p>
        </w:tc>
        <w:tc>
          <w:tcPr>
            <w:tcW w:w="1668" w:type="dxa"/>
            <w:tcBorders>
              <w:top w:val="nil"/>
              <w:left w:val="nil"/>
              <w:bottom w:val="nil"/>
              <w:right w:val="nil"/>
            </w:tcBorders>
            <w:shd w:val="clear" w:color="auto" w:fill="D9D9D9" w:themeFill="background1" w:themeFillShade="D9"/>
            <w:vAlign w:val="center"/>
          </w:tcPr>
          <w:p w14:paraId="7536BE69" w14:textId="45AF8903" w:rsidR="00C90A05" w:rsidRPr="00C90A05" w:rsidRDefault="00C90A05" w:rsidP="00C90A05">
            <w:pPr>
              <w:jc w:val="center"/>
              <w:rPr>
                <w:rFonts w:cs="Arial"/>
                <w:color w:val="000000" w:themeColor="text1"/>
                <w:sz w:val="18"/>
                <w:szCs w:val="20"/>
              </w:rPr>
            </w:pPr>
            <w:r w:rsidRPr="00C90A05">
              <w:rPr>
                <w:rFonts w:cs="Arial"/>
                <w:sz w:val="18"/>
                <w:szCs w:val="20"/>
              </w:rPr>
              <w:t>1.50 - 2.19</w:t>
            </w:r>
          </w:p>
        </w:tc>
      </w:tr>
      <w:tr w:rsidR="00C90A05" w14:paraId="155EE366" w14:textId="77777777" w:rsidTr="0076249A">
        <w:trPr>
          <w:trHeight w:val="340"/>
        </w:trPr>
        <w:tc>
          <w:tcPr>
            <w:tcW w:w="1695" w:type="dxa"/>
            <w:tcBorders>
              <w:top w:val="nil"/>
              <w:left w:val="nil"/>
              <w:bottom w:val="nil"/>
              <w:right w:val="nil"/>
            </w:tcBorders>
            <w:vAlign w:val="center"/>
          </w:tcPr>
          <w:p w14:paraId="6A6EFC33" w14:textId="77777777" w:rsidR="00C90A05" w:rsidRPr="002433D5" w:rsidRDefault="00C90A05" w:rsidP="00C90A05">
            <w:pPr>
              <w:rPr>
                <w:rFonts w:cs="Arial"/>
                <w:color w:val="000000" w:themeColor="text1"/>
                <w:sz w:val="20"/>
                <w:szCs w:val="18"/>
              </w:rPr>
            </w:pPr>
            <w:r w:rsidRPr="002433D5">
              <w:rPr>
                <w:sz w:val="20"/>
                <w:szCs w:val="18"/>
              </w:rPr>
              <w:t>Leucine</w:t>
            </w:r>
          </w:p>
        </w:tc>
        <w:tc>
          <w:tcPr>
            <w:tcW w:w="1435" w:type="dxa"/>
            <w:tcBorders>
              <w:top w:val="nil"/>
              <w:left w:val="nil"/>
              <w:bottom w:val="nil"/>
              <w:right w:val="nil"/>
            </w:tcBorders>
            <w:vAlign w:val="center"/>
          </w:tcPr>
          <w:p w14:paraId="3ECE2BB6" w14:textId="5DFB2951" w:rsidR="00C90A05" w:rsidRPr="00C90A05" w:rsidRDefault="00C90A05" w:rsidP="00C90A05">
            <w:pPr>
              <w:jc w:val="center"/>
              <w:rPr>
                <w:rFonts w:cs="Arial"/>
                <w:color w:val="000000" w:themeColor="text1"/>
                <w:sz w:val="18"/>
                <w:szCs w:val="20"/>
              </w:rPr>
            </w:pPr>
            <w:r w:rsidRPr="00C90A05">
              <w:rPr>
                <w:rFonts w:cs="Arial"/>
                <w:sz w:val="18"/>
                <w:szCs w:val="20"/>
              </w:rPr>
              <w:t>3.08 ± 0.12</w:t>
            </w:r>
          </w:p>
        </w:tc>
        <w:tc>
          <w:tcPr>
            <w:tcW w:w="1423" w:type="dxa"/>
            <w:tcBorders>
              <w:top w:val="nil"/>
              <w:left w:val="nil"/>
              <w:bottom w:val="nil"/>
              <w:right w:val="nil"/>
            </w:tcBorders>
            <w:vAlign w:val="center"/>
          </w:tcPr>
          <w:p w14:paraId="066FB046" w14:textId="526C74A6" w:rsidR="00C90A05" w:rsidRPr="00C90A05" w:rsidRDefault="00C90A05" w:rsidP="00C90A05">
            <w:pPr>
              <w:jc w:val="center"/>
              <w:rPr>
                <w:rFonts w:cs="Arial"/>
                <w:color w:val="000000" w:themeColor="text1"/>
                <w:sz w:val="18"/>
                <w:szCs w:val="20"/>
              </w:rPr>
            </w:pPr>
            <w:r w:rsidRPr="00C90A05">
              <w:rPr>
                <w:rFonts w:cs="Arial"/>
                <w:sz w:val="18"/>
                <w:szCs w:val="20"/>
              </w:rPr>
              <w:t>3.12 ± 0.14</w:t>
            </w:r>
          </w:p>
        </w:tc>
        <w:tc>
          <w:tcPr>
            <w:tcW w:w="1416" w:type="dxa"/>
            <w:tcBorders>
              <w:top w:val="nil"/>
              <w:left w:val="nil"/>
              <w:bottom w:val="nil"/>
              <w:right w:val="nil"/>
            </w:tcBorders>
            <w:shd w:val="clear" w:color="auto" w:fill="auto"/>
            <w:vAlign w:val="center"/>
          </w:tcPr>
          <w:p w14:paraId="05CA2807" w14:textId="1D6301A1" w:rsidR="00C90A05" w:rsidRPr="00C90A05" w:rsidRDefault="00C90A05" w:rsidP="00C90A05">
            <w:pPr>
              <w:jc w:val="center"/>
              <w:rPr>
                <w:rFonts w:cs="Arial"/>
                <w:color w:val="000000" w:themeColor="text1"/>
                <w:sz w:val="18"/>
                <w:szCs w:val="20"/>
              </w:rPr>
            </w:pPr>
            <w:r w:rsidRPr="00C90A05">
              <w:rPr>
                <w:rFonts w:cs="Arial"/>
                <w:sz w:val="18"/>
                <w:szCs w:val="20"/>
              </w:rPr>
              <w:t>3.11 ± 0.16</w:t>
            </w:r>
          </w:p>
        </w:tc>
        <w:tc>
          <w:tcPr>
            <w:tcW w:w="1423" w:type="dxa"/>
            <w:tcBorders>
              <w:top w:val="nil"/>
              <w:left w:val="nil"/>
              <w:bottom w:val="nil"/>
              <w:right w:val="nil"/>
            </w:tcBorders>
            <w:vAlign w:val="center"/>
          </w:tcPr>
          <w:p w14:paraId="376E49AB" w14:textId="25A1A6F0" w:rsidR="00C90A05" w:rsidRPr="00C90A05" w:rsidRDefault="00C90A05" w:rsidP="00C90A05">
            <w:pPr>
              <w:jc w:val="center"/>
              <w:rPr>
                <w:rFonts w:cs="Arial"/>
                <w:color w:val="000000" w:themeColor="text1"/>
                <w:sz w:val="18"/>
                <w:szCs w:val="20"/>
              </w:rPr>
            </w:pPr>
            <w:r w:rsidRPr="00C90A05">
              <w:rPr>
                <w:rFonts w:cs="Arial"/>
                <w:sz w:val="18"/>
                <w:szCs w:val="20"/>
              </w:rPr>
              <w:t>2.53 - 3.51</w:t>
            </w:r>
          </w:p>
        </w:tc>
        <w:tc>
          <w:tcPr>
            <w:tcW w:w="1668" w:type="dxa"/>
            <w:tcBorders>
              <w:top w:val="nil"/>
              <w:left w:val="nil"/>
              <w:bottom w:val="nil"/>
              <w:right w:val="nil"/>
            </w:tcBorders>
            <w:vAlign w:val="center"/>
          </w:tcPr>
          <w:p w14:paraId="1D0CF6A5" w14:textId="7A280137" w:rsidR="00C90A05" w:rsidRPr="00C90A05" w:rsidRDefault="00C90A05" w:rsidP="00C90A05">
            <w:pPr>
              <w:jc w:val="center"/>
              <w:rPr>
                <w:rFonts w:cs="Arial"/>
                <w:color w:val="000000" w:themeColor="text1"/>
                <w:sz w:val="18"/>
                <w:szCs w:val="20"/>
              </w:rPr>
            </w:pPr>
            <w:r w:rsidRPr="00C90A05">
              <w:rPr>
                <w:rFonts w:cs="Arial"/>
                <w:sz w:val="18"/>
                <w:szCs w:val="20"/>
              </w:rPr>
              <w:t>2.46 - 3.59</w:t>
            </w:r>
          </w:p>
        </w:tc>
      </w:tr>
      <w:tr w:rsidR="00C90A05" w14:paraId="0E35E0F3" w14:textId="77777777" w:rsidTr="0076249A">
        <w:trPr>
          <w:trHeight w:val="340"/>
        </w:trPr>
        <w:tc>
          <w:tcPr>
            <w:tcW w:w="1695" w:type="dxa"/>
            <w:tcBorders>
              <w:top w:val="nil"/>
              <w:left w:val="nil"/>
              <w:bottom w:val="nil"/>
              <w:right w:val="nil"/>
            </w:tcBorders>
            <w:shd w:val="clear" w:color="auto" w:fill="D9D9D9" w:themeFill="background1" w:themeFillShade="D9"/>
            <w:vAlign w:val="center"/>
          </w:tcPr>
          <w:p w14:paraId="74467028" w14:textId="77777777" w:rsidR="00C90A05" w:rsidRPr="002433D5" w:rsidRDefault="00C90A05" w:rsidP="00C90A05">
            <w:pPr>
              <w:rPr>
                <w:rFonts w:cs="Arial"/>
                <w:color w:val="000000" w:themeColor="text1"/>
                <w:sz w:val="20"/>
                <w:szCs w:val="18"/>
              </w:rPr>
            </w:pPr>
            <w:r w:rsidRPr="002433D5">
              <w:rPr>
                <w:sz w:val="20"/>
                <w:szCs w:val="18"/>
              </w:rPr>
              <w:t>Lysine</w:t>
            </w:r>
          </w:p>
        </w:tc>
        <w:tc>
          <w:tcPr>
            <w:tcW w:w="1435" w:type="dxa"/>
            <w:tcBorders>
              <w:top w:val="nil"/>
              <w:left w:val="nil"/>
              <w:bottom w:val="nil"/>
              <w:right w:val="nil"/>
            </w:tcBorders>
            <w:shd w:val="clear" w:color="auto" w:fill="D9D9D9" w:themeFill="background1" w:themeFillShade="D9"/>
            <w:vAlign w:val="center"/>
          </w:tcPr>
          <w:p w14:paraId="4D499FE6" w14:textId="076CF3CD" w:rsidR="00C90A05" w:rsidRPr="00C90A05" w:rsidRDefault="00C90A05" w:rsidP="00C90A05">
            <w:pPr>
              <w:jc w:val="center"/>
              <w:rPr>
                <w:rFonts w:cs="Arial"/>
                <w:color w:val="000000" w:themeColor="text1"/>
                <w:sz w:val="18"/>
                <w:szCs w:val="20"/>
              </w:rPr>
            </w:pPr>
            <w:r w:rsidRPr="00C90A05">
              <w:rPr>
                <w:rFonts w:cs="Arial"/>
                <w:sz w:val="18"/>
                <w:szCs w:val="20"/>
              </w:rPr>
              <w:t>2.89 ± 0.24</w:t>
            </w:r>
          </w:p>
        </w:tc>
        <w:tc>
          <w:tcPr>
            <w:tcW w:w="1423" w:type="dxa"/>
            <w:tcBorders>
              <w:top w:val="nil"/>
              <w:left w:val="nil"/>
              <w:bottom w:val="nil"/>
              <w:right w:val="nil"/>
            </w:tcBorders>
            <w:shd w:val="clear" w:color="auto" w:fill="D9D9D9" w:themeFill="background1" w:themeFillShade="D9"/>
            <w:vAlign w:val="center"/>
          </w:tcPr>
          <w:p w14:paraId="1C880DA7" w14:textId="25C3EF01" w:rsidR="00C90A05" w:rsidRPr="00C90A05" w:rsidRDefault="00C90A05" w:rsidP="00C90A05">
            <w:pPr>
              <w:jc w:val="center"/>
              <w:rPr>
                <w:rFonts w:cs="Arial"/>
                <w:color w:val="000000" w:themeColor="text1"/>
                <w:sz w:val="18"/>
                <w:szCs w:val="20"/>
              </w:rPr>
            </w:pPr>
            <w:r w:rsidRPr="00C90A05">
              <w:rPr>
                <w:rFonts w:cs="Arial"/>
                <w:sz w:val="18"/>
                <w:szCs w:val="20"/>
              </w:rPr>
              <w:t>2.92 ± 0.23</w:t>
            </w:r>
          </w:p>
        </w:tc>
        <w:tc>
          <w:tcPr>
            <w:tcW w:w="1416" w:type="dxa"/>
            <w:tcBorders>
              <w:top w:val="nil"/>
              <w:left w:val="nil"/>
              <w:bottom w:val="nil"/>
              <w:right w:val="nil"/>
            </w:tcBorders>
            <w:shd w:val="clear" w:color="auto" w:fill="D9D9D9" w:themeFill="background1" w:themeFillShade="D9"/>
            <w:vAlign w:val="center"/>
          </w:tcPr>
          <w:p w14:paraId="2A808401" w14:textId="7A424857" w:rsidR="00C90A05" w:rsidRPr="00C90A05" w:rsidRDefault="00C90A05" w:rsidP="00C90A05">
            <w:pPr>
              <w:jc w:val="center"/>
              <w:rPr>
                <w:rFonts w:cs="Arial"/>
                <w:color w:val="000000" w:themeColor="text1"/>
                <w:sz w:val="18"/>
                <w:szCs w:val="20"/>
              </w:rPr>
            </w:pPr>
            <w:r w:rsidRPr="00C90A05">
              <w:rPr>
                <w:rFonts w:cs="Arial"/>
                <w:sz w:val="18"/>
                <w:szCs w:val="20"/>
              </w:rPr>
              <w:t>2.92 ± 0.19</w:t>
            </w:r>
          </w:p>
        </w:tc>
        <w:tc>
          <w:tcPr>
            <w:tcW w:w="1423" w:type="dxa"/>
            <w:tcBorders>
              <w:top w:val="nil"/>
              <w:left w:val="nil"/>
              <w:bottom w:val="nil"/>
              <w:right w:val="nil"/>
            </w:tcBorders>
            <w:shd w:val="clear" w:color="auto" w:fill="D9D9D9" w:themeFill="background1" w:themeFillShade="D9"/>
            <w:vAlign w:val="center"/>
          </w:tcPr>
          <w:p w14:paraId="1F54E704" w14:textId="458E12D0" w:rsidR="00C90A05" w:rsidRPr="00C90A05" w:rsidRDefault="00C90A05" w:rsidP="00C90A05">
            <w:pPr>
              <w:jc w:val="center"/>
              <w:rPr>
                <w:rFonts w:cs="Arial"/>
                <w:color w:val="000000" w:themeColor="text1"/>
                <w:sz w:val="18"/>
                <w:szCs w:val="20"/>
              </w:rPr>
            </w:pPr>
            <w:r w:rsidRPr="00C90A05">
              <w:rPr>
                <w:rFonts w:cs="Arial"/>
                <w:sz w:val="18"/>
                <w:szCs w:val="20"/>
              </w:rPr>
              <w:t>2.33 - 3.41</w:t>
            </w:r>
          </w:p>
        </w:tc>
        <w:tc>
          <w:tcPr>
            <w:tcW w:w="1668" w:type="dxa"/>
            <w:tcBorders>
              <w:top w:val="nil"/>
              <w:left w:val="nil"/>
              <w:bottom w:val="nil"/>
              <w:right w:val="nil"/>
            </w:tcBorders>
            <w:shd w:val="clear" w:color="auto" w:fill="D9D9D9" w:themeFill="background1" w:themeFillShade="D9"/>
            <w:vAlign w:val="center"/>
          </w:tcPr>
          <w:p w14:paraId="172F5754" w14:textId="6BC3A5F8" w:rsidR="00C90A05" w:rsidRPr="00C90A05" w:rsidRDefault="00C90A05" w:rsidP="00C90A05">
            <w:pPr>
              <w:jc w:val="center"/>
              <w:rPr>
                <w:rFonts w:cs="Arial"/>
                <w:color w:val="000000" w:themeColor="text1"/>
                <w:sz w:val="18"/>
                <w:szCs w:val="20"/>
              </w:rPr>
            </w:pPr>
            <w:r w:rsidRPr="00C90A05">
              <w:rPr>
                <w:rFonts w:cs="Arial"/>
                <w:sz w:val="18"/>
                <w:szCs w:val="20"/>
              </w:rPr>
              <w:t>2.11 - 3.56</w:t>
            </w:r>
          </w:p>
        </w:tc>
      </w:tr>
      <w:tr w:rsidR="00C90A05" w14:paraId="7DB7DE77" w14:textId="77777777" w:rsidTr="0076249A">
        <w:trPr>
          <w:trHeight w:val="340"/>
        </w:trPr>
        <w:tc>
          <w:tcPr>
            <w:tcW w:w="1695" w:type="dxa"/>
            <w:tcBorders>
              <w:top w:val="nil"/>
              <w:left w:val="nil"/>
              <w:bottom w:val="nil"/>
              <w:right w:val="nil"/>
            </w:tcBorders>
            <w:vAlign w:val="center"/>
          </w:tcPr>
          <w:p w14:paraId="44037CEE" w14:textId="77777777" w:rsidR="00C90A05" w:rsidRPr="002433D5" w:rsidRDefault="00C90A05" w:rsidP="00C90A05">
            <w:pPr>
              <w:rPr>
                <w:rFonts w:cs="Arial"/>
                <w:color w:val="000000" w:themeColor="text1"/>
                <w:sz w:val="20"/>
                <w:szCs w:val="18"/>
              </w:rPr>
            </w:pPr>
            <w:r w:rsidRPr="002433D5">
              <w:rPr>
                <w:sz w:val="20"/>
                <w:szCs w:val="18"/>
              </w:rPr>
              <w:t>Methionine</w:t>
            </w:r>
          </w:p>
        </w:tc>
        <w:tc>
          <w:tcPr>
            <w:tcW w:w="1435" w:type="dxa"/>
            <w:tcBorders>
              <w:top w:val="nil"/>
              <w:left w:val="nil"/>
              <w:bottom w:val="nil"/>
              <w:right w:val="nil"/>
            </w:tcBorders>
            <w:vAlign w:val="center"/>
          </w:tcPr>
          <w:p w14:paraId="54DC8835" w14:textId="79D1BE1C" w:rsidR="00C90A05" w:rsidRPr="00C90A05" w:rsidRDefault="00C90A05" w:rsidP="00C90A05">
            <w:pPr>
              <w:jc w:val="center"/>
              <w:rPr>
                <w:rFonts w:cs="Arial"/>
                <w:color w:val="000000" w:themeColor="text1"/>
                <w:sz w:val="18"/>
                <w:szCs w:val="20"/>
              </w:rPr>
            </w:pPr>
            <w:r w:rsidRPr="00C90A05">
              <w:rPr>
                <w:rFonts w:cs="Arial"/>
                <w:sz w:val="18"/>
                <w:szCs w:val="20"/>
              </w:rPr>
              <w:t>0.513 ± 0.039</w:t>
            </w:r>
          </w:p>
        </w:tc>
        <w:tc>
          <w:tcPr>
            <w:tcW w:w="1423" w:type="dxa"/>
            <w:tcBorders>
              <w:top w:val="nil"/>
              <w:left w:val="nil"/>
              <w:bottom w:val="nil"/>
              <w:right w:val="nil"/>
            </w:tcBorders>
            <w:vAlign w:val="center"/>
          </w:tcPr>
          <w:p w14:paraId="2B62399D" w14:textId="68B4C603" w:rsidR="00C90A05" w:rsidRPr="00C90A05" w:rsidRDefault="00C90A05" w:rsidP="00C90A05">
            <w:pPr>
              <w:jc w:val="center"/>
              <w:rPr>
                <w:rFonts w:cs="Arial"/>
                <w:color w:val="000000" w:themeColor="text1"/>
                <w:sz w:val="18"/>
                <w:szCs w:val="20"/>
              </w:rPr>
            </w:pPr>
            <w:r w:rsidRPr="00C90A05">
              <w:rPr>
                <w:rFonts w:cs="Arial"/>
                <w:sz w:val="18"/>
                <w:szCs w:val="20"/>
              </w:rPr>
              <w:t>0.516 ± 0.039</w:t>
            </w:r>
          </w:p>
        </w:tc>
        <w:tc>
          <w:tcPr>
            <w:tcW w:w="1416" w:type="dxa"/>
            <w:tcBorders>
              <w:top w:val="nil"/>
              <w:left w:val="nil"/>
              <w:bottom w:val="nil"/>
              <w:right w:val="nil"/>
            </w:tcBorders>
            <w:shd w:val="clear" w:color="auto" w:fill="auto"/>
            <w:vAlign w:val="center"/>
          </w:tcPr>
          <w:p w14:paraId="72490623" w14:textId="5BDE1D0D" w:rsidR="00C90A05" w:rsidRPr="00C90A05" w:rsidRDefault="00C90A05" w:rsidP="00C90A05">
            <w:pPr>
              <w:jc w:val="center"/>
              <w:rPr>
                <w:rFonts w:cs="Arial"/>
                <w:color w:val="000000" w:themeColor="text1"/>
                <w:sz w:val="18"/>
                <w:szCs w:val="20"/>
              </w:rPr>
            </w:pPr>
            <w:r w:rsidRPr="00C90A05">
              <w:rPr>
                <w:rFonts w:cs="Arial"/>
                <w:sz w:val="18"/>
                <w:szCs w:val="20"/>
              </w:rPr>
              <w:t>0.528 ± 0.035</w:t>
            </w:r>
          </w:p>
        </w:tc>
        <w:tc>
          <w:tcPr>
            <w:tcW w:w="1423" w:type="dxa"/>
            <w:tcBorders>
              <w:top w:val="nil"/>
              <w:left w:val="nil"/>
              <w:bottom w:val="nil"/>
              <w:right w:val="nil"/>
            </w:tcBorders>
            <w:vAlign w:val="center"/>
          </w:tcPr>
          <w:p w14:paraId="767D5F34" w14:textId="7674964B" w:rsidR="00C90A05" w:rsidRPr="00C90A05" w:rsidRDefault="00C90A05" w:rsidP="00C90A05">
            <w:pPr>
              <w:jc w:val="center"/>
              <w:rPr>
                <w:rFonts w:cs="Arial"/>
                <w:color w:val="000000" w:themeColor="text1"/>
                <w:sz w:val="18"/>
                <w:szCs w:val="20"/>
              </w:rPr>
            </w:pPr>
            <w:r w:rsidRPr="00C90A05">
              <w:rPr>
                <w:rFonts w:cs="Arial"/>
                <w:sz w:val="18"/>
                <w:szCs w:val="20"/>
              </w:rPr>
              <w:t>0.376 - 0.583</w:t>
            </w:r>
          </w:p>
        </w:tc>
        <w:tc>
          <w:tcPr>
            <w:tcW w:w="1668" w:type="dxa"/>
            <w:tcBorders>
              <w:top w:val="nil"/>
              <w:left w:val="nil"/>
              <w:bottom w:val="nil"/>
              <w:right w:val="nil"/>
            </w:tcBorders>
            <w:vAlign w:val="center"/>
          </w:tcPr>
          <w:p w14:paraId="42BA3CB6" w14:textId="4BC31933" w:rsidR="00C90A05" w:rsidRPr="00C90A05" w:rsidRDefault="00C90A05" w:rsidP="00C90A05">
            <w:pPr>
              <w:jc w:val="center"/>
              <w:rPr>
                <w:rFonts w:cs="Arial"/>
                <w:color w:val="000000" w:themeColor="text1"/>
                <w:sz w:val="18"/>
                <w:szCs w:val="20"/>
              </w:rPr>
            </w:pPr>
            <w:r w:rsidRPr="00C90A05">
              <w:rPr>
                <w:rFonts w:cs="Arial"/>
                <w:sz w:val="18"/>
                <w:szCs w:val="20"/>
              </w:rPr>
              <w:t>0.361 - 0.625</w:t>
            </w:r>
          </w:p>
        </w:tc>
      </w:tr>
      <w:tr w:rsidR="00C90A05" w14:paraId="6D1E1328" w14:textId="77777777" w:rsidTr="0076249A">
        <w:trPr>
          <w:trHeight w:val="340"/>
        </w:trPr>
        <w:tc>
          <w:tcPr>
            <w:tcW w:w="1695" w:type="dxa"/>
            <w:tcBorders>
              <w:top w:val="nil"/>
              <w:left w:val="nil"/>
              <w:bottom w:val="nil"/>
              <w:right w:val="nil"/>
            </w:tcBorders>
            <w:shd w:val="clear" w:color="auto" w:fill="D9D9D9" w:themeFill="background1" w:themeFillShade="D9"/>
            <w:vAlign w:val="center"/>
          </w:tcPr>
          <w:p w14:paraId="11DE7EF5" w14:textId="77777777" w:rsidR="00C90A05" w:rsidRPr="002433D5" w:rsidRDefault="00C90A05" w:rsidP="00C90A05">
            <w:pPr>
              <w:rPr>
                <w:rFonts w:cs="Arial"/>
                <w:color w:val="000000" w:themeColor="text1"/>
                <w:sz w:val="20"/>
                <w:szCs w:val="18"/>
              </w:rPr>
            </w:pPr>
            <w:r w:rsidRPr="002433D5">
              <w:rPr>
                <w:sz w:val="20"/>
                <w:szCs w:val="18"/>
              </w:rPr>
              <w:t>Phenylalanine</w:t>
            </w:r>
          </w:p>
        </w:tc>
        <w:tc>
          <w:tcPr>
            <w:tcW w:w="1435" w:type="dxa"/>
            <w:tcBorders>
              <w:top w:val="nil"/>
              <w:left w:val="nil"/>
              <w:bottom w:val="nil"/>
              <w:right w:val="nil"/>
            </w:tcBorders>
            <w:shd w:val="clear" w:color="auto" w:fill="D9D9D9" w:themeFill="background1" w:themeFillShade="D9"/>
            <w:vAlign w:val="center"/>
          </w:tcPr>
          <w:p w14:paraId="1FB93D12" w14:textId="7E7732AD" w:rsidR="00C90A05" w:rsidRPr="00C90A05" w:rsidRDefault="00C90A05" w:rsidP="00C90A05">
            <w:pPr>
              <w:jc w:val="center"/>
              <w:rPr>
                <w:rFonts w:cs="Arial"/>
                <w:color w:val="000000" w:themeColor="text1"/>
                <w:sz w:val="18"/>
                <w:szCs w:val="20"/>
              </w:rPr>
            </w:pPr>
            <w:r w:rsidRPr="00C90A05">
              <w:rPr>
                <w:rFonts w:cs="Arial"/>
                <w:sz w:val="18"/>
                <w:szCs w:val="20"/>
              </w:rPr>
              <w:t>2.06 ± 0.15</w:t>
            </w:r>
          </w:p>
        </w:tc>
        <w:tc>
          <w:tcPr>
            <w:tcW w:w="1423" w:type="dxa"/>
            <w:tcBorders>
              <w:top w:val="nil"/>
              <w:left w:val="nil"/>
              <w:bottom w:val="nil"/>
              <w:right w:val="nil"/>
            </w:tcBorders>
            <w:shd w:val="clear" w:color="auto" w:fill="D9D9D9" w:themeFill="background1" w:themeFillShade="D9"/>
            <w:vAlign w:val="center"/>
          </w:tcPr>
          <w:p w14:paraId="20689AA2" w14:textId="7A1D5A52" w:rsidR="00C90A05" w:rsidRPr="00C90A05" w:rsidRDefault="00C90A05" w:rsidP="00C90A05">
            <w:pPr>
              <w:jc w:val="center"/>
              <w:rPr>
                <w:rFonts w:cs="Arial"/>
                <w:color w:val="000000" w:themeColor="text1"/>
                <w:sz w:val="18"/>
                <w:szCs w:val="20"/>
              </w:rPr>
            </w:pPr>
            <w:r w:rsidRPr="00C90A05">
              <w:rPr>
                <w:rFonts w:cs="Arial"/>
                <w:sz w:val="18"/>
                <w:szCs w:val="20"/>
              </w:rPr>
              <w:t>2.09 ± 0.16</w:t>
            </w:r>
          </w:p>
        </w:tc>
        <w:tc>
          <w:tcPr>
            <w:tcW w:w="1416" w:type="dxa"/>
            <w:tcBorders>
              <w:top w:val="nil"/>
              <w:left w:val="nil"/>
              <w:bottom w:val="nil"/>
              <w:right w:val="nil"/>
            </w:tcBorders>
            <w:shd w:val="clear" w:color="auto" w:fill="D9D9D9" w:themeFill="background1" w:themeFillShade="D9"/>
            <w:vAlign w:val="center"/>
          </w:tcPr>
          <w:p w14:paraId="6800EA14" w14:textId="730D67D7" w:rsidR="00C90A05" w:rsidRPr="00C90A05" w:rsidRDefault="00C90A05" w:rsidP="00C90A05">
            <w:pPr>
              <w:jc w:val="center"/>
              <w:rPr>
                <w:rFonts w:cs="Arial"/>
                <w:color w:val="000000" w:themeColor="text1"/>
                <w:sz w:val="18"/>
                <w:szCs w:val="20"/>
              </w:rPr>
            </w:pPr>
            <w:r w:rsidRPr="00C90A05">
              <w:rPr>
                <w:rFonts w:cs="Arial"/>
                <w:sz w:val="18"/>
                <w:szCs w:val="20"/>
              </w:rPr>
              <w:t>2.09 ± 0.20</w:t>
            </w:r>
          </w:p>
        </w:tc>
        <w:tc>
          <w:tcPr>
            <w:tcW w:w="1423" w:type="dxa"/>
            <w:tcBorders>
              <w:top w:val="nil"/>
              <w:left w:val="nil"/>
              <w:bottom w:val="nil"/>
              <w:right w:val="nil"/>
            </w:tcBorders>
            <w:shd w:val="clear" w:color="auto" w:fill="D9D9D9" w:themeFill="background1" w:themeFillShade="D9"/>
            <w:vAlign w:val="center"/>
          </w:tcPr>
          <w:p w14:paraId="0620E812" w14:textId="71B6A830" w:rsidR="00C90A05" w:rsidRPr="00C90A05" w:rsidRDefault="00C90A05" w:rsidP="00C90A05">
            <w:pPr>
              <w:jc w:val="center"/>
              <w:rPr>
                <w:rFonts w:cs="Arial"/>
                <w:color w:val="000000" w:themeColor="text1"/>
                <w:sz w:val="18"/>
                <w:szCs w:val="20"/>
              </w:rPr>
            </w:pPr>
            <w:r w:rsidRPr="00C90A05">
              <w:rPr>
                <w:rFonts w:cs="Arial"/>
                <w:sz w:val="18"/>
                <w:szCs w:val="20"/>
              </w:rPr>
              <w:t>1.58 - 2.56</w:t>
            </w:r>
          </w:p>
        </w:tc>
        <w:tc>
          <w:tcPr>
            <w:tcW w:w="1668" w:type="dxa"/>
            <w:tcBorders>
              <w:top w:val="nil"/>
              <w:left w:val="nil"/>
              <w:bottom w:val="nil"/>
              <w:right w:val="nil"/>
            </w:tcBorders>
            <w:shd w:val="clear" w:color="auto" w:fill="D9D9D9" w:themeFill="background1" w:themeFillShade="D9"/>
            <w:vAlign w:val="center"/>
          </w:tcPr>
          <w:p w14:paraId="3773B61C" w14:textId="16AA87FB" w:rsidR="00C90A05" w:rsidRPr="00C90A05" w:rsidRDefault="00C90A05" w:rsidP="00C90A05">
            <w:pPr>
              <w:jc w:val="center"/>
              <w:rPr>
                <w:rFonts w:cs="Arial"/>
                <w:color w:val="000000" w:themeColor="text1"/>
                <w:sz w:val="18"/>
                <w:szCs w:val="20"/>
              </w:rPr>
            </w:pPr>
            <w:r w:rsidRPr="00C90A05">
              <w:rPr>
                <w:rFonts w:cs="Arial"/>
                <w:sz w:val="18"/>
                <w:szCs w:val="20"/>
              </w:rPr>
              <w:t>1.50 - 2.61</w:t>
            </w:r>
          </w:p>
        </w:tc>
      </w:tr>
      <w:tr w:rsidR="00C90A05" w14:paraId="739F89C0" w14:textId="77777777" w:rsidTr="0076249A">
        <w:trPr>
          <w:trHeight w:val="340"/>
        </w:trPr>
        <w:tc>
          <w:tcPr>
            <w:tcW w:w="1695" w:type="dxa"/>
            <w:tcBorders>
              <w:top w:val="nil"/>
              <w:left w:val="nil"/>
              <w:bottom w:val="nil"/>
              <w:right w:val="nil"/>
            </w:tcBorders>
            <w:vAlign w:val="center"/>
          </w:tcPr>
          <w:p w14:paraId="35D1CE35" w14:textId="77777777" w:rsidR="00C90A05" w:rsidRPr="002433D5" w:rsidRDefault="00C90A05" w:rsidP="00C90A05">
            <w:pPr>
              <w:rPr>
                <w:rFonts w:cs="Arial"/>
                <w:color w:val="000000" w:themeColor="text1"/>
                <w:sz w:val="20"/>
                <w:szCs w:val="18"/>
              </w:rPr>
            </w:pPr>
            <w:r w:rsidRPr="002433D5">
              <w:rPr>
                <w:sz w:val="20"/>
                <w:szCs w:val="18"/>
              </w:rPr>
              <w:t>Proline</w:t>
            </w:r>
          </w:p>
        </w:tc>
        <w:tc>
          <w:tcPr>
            <w:tcW w:w="1435" w:type="dxa"/>
            <w:tcBorders>
              <w:top w:val="nil"/>
              <w:left w:val="nil"/>
              <w:bottom w:val="nil"/>
              <w:right w:val="nil"/>
            </w:tcBorders>
            <w:vAlign w:val="center"/>
          </w:tcPr>
          <w:p w14:paraId="4CE097A7" w14:textId="3DE01673" w:rsidR="00C90A05" w:rsidRPr="00C90A05" w:rsidRDefault="00C90A05" w:rsidP="00C90A05">
            <w:pPr>
              <w:jc w:val="center"/>
              <w:rPr>
                <w:rFonts w:cs="Arial"/>
                <w:color w:val="000000" w:themeColor="text1"/>
                <w:sz w:val="18"/>
                <w:szCs w:val="20"/>
              </w:rPr>
            </w:pPr>
            <w:r w:rsidRPr="00C90A05">
              <w:rPr>
                <w:rFonts w:cs="Arial"/>
                <w:sz w:val="18"/>
                <w:szCs w:val="20"/>
              </w:rPr>
              <w:t>2.07 ± 0.088</w:t>
            </w:r>
          </w:p>
        </w:tc>
        <w:tc>
          <w:tcPr>
            <w:tcW w:w="1423" w:type="dxa"/>
            <w:tcBorders>
              <w:top w:val="nil"/>
              <w:left w:val="nil"/>
              <w:bottom w:val="nil"/>
              <w:right w:val="nil"/>
            </w:tcBorders>
            <w:vAlign w:val="center"/>
          </w:tcPr>
          <w:p w14:paraId="5F26B7AF" w14:textId="531EF7F2" w:rsidR="00C90A05" w:rsidRPr="00C90A05" w:rsidRDefault="00C90A05" w:rsidP="00C90A05">
            <w:pPr>
              <w:jc w:val="center"/>
              <w:rPr>
                <w:rFonts w:cs="Arial"/>
                <w:color w:val="000000" w:themeColor="text1"/>
                <w:sz w:val="18"/>
                <w:szCs w:val="20"/>
              </w:rPr>
            </w:pPr>
            <w:r w:rsidRPr="00C90A05">
              <w:rPr>
                <w:rFonts w:cs="Arial"/>
                <w:sz w:val="18"/>
                <w:szCs w:val="20"/>
              </w:rPr>
              <w:t>2.11 ± 0.100</w:t>
            </w:r>
          </w:p>
        </w:tc>
        <w:tc>
          <w:tcPr>
            <w:tcW w:w="1416" w:type="dxa"/>
            <w:tcBorders>
              <w:top w:val="nil"/>
              <w:left w:val="nil"/>
              <w:bottom w:val="nil"/>
              <w:right w:val="nil"/>
            </w:tcBorders>
            <w:vAlign w:val="center"/>
          </w:tcPr>
          <w:p w14:paraId="6B61A27E" w14:textId="6455A76D" w:rsidR="00C90A05" w:rsidRPr="00C90A05" w:rsidRDefault="00C90A05" w:rsidP="00C90A05">
            <w:pPr>
              <w:jc w:val="center"/>
              <w:rPr>
                <w:rFonts w:cs="Arial"/>
                <w:color w:val="000000" w:themeColor="text1"/>
                <w:sz w:val="18"/>
                <w:szCs w:val="20"/>
              </w:rPr>
            </w:pPr>
            <w:r w:rsidRPr="00C90A05">
              <w:rPr>
                <w:rFonts w:cs="Arial"/>
                <w:sz w:val="18"/>
                <w:szCs w:val="20"/>
              </w:rPr>
              <w:t>2.11 ± 0.118</w:t>
            </w:r>
          </w:p>
        </w:tc>
        <w:tc>
          <w:tcPr>
            <w:tcW w:w="1423" w:type="dxa"/>
            <w:tcBorders>
              <w:top w:val="nil"/>
              <w:left w:val="nil"/>
              <w:bottom w:val="nil"/>
              <w:right w:val="nil"/>
            </w:tcBorders>
            <w:vAlign w:val="center"/>
          </w:tcPr>
          <w:p w14:paraId="1BA3A786" w14:textId="075F3DD7" w:rsidR="00C90A05" w:rsidRPr="00C90A05" w:rsidRDefault="00C90A05" w:rsidP="00C90A05">
            <w:pPr>
              <w:jc w:val="center"/>
              <w:rPr>
                <w:rFonts w:cs="Arial"/>
                <w:color w:val="000000" w:themeColor="text1"/>
                <w:sz w:val="18"/>
                <w:szCs w:val="20"/>
              </w:rPr>
            </w:pPr>
            <w:r w:rsidRPr="00C90A05">
              <w:rPr>
                <w:rFonts w:cs="Arial"/>
                <w:sz w:val="18"/>
                <w:szCs w:val="20"/>
              </w:rPr>
              <w:t>1.66 - 2.46</w:t>
            </w:r>
          </w:p>
        </w:tc>
        <w:tc>
          <w:tcPr>
            <w:tcW w:w="1668" w:type="dxa"/>
            <w:tcBorders>
              <w:top w:val="nil"/>
              <w:left w:val="nil"/>
              <w:bottom w:val="nil"/>
              <w:right w:val="nil"/>
            </w:tcBorders>
            <w:vAlign w:val="center"/>
          </w:tcPr>
          <w:p w14:paraId="705E7AF2" w14:textId="272F627B" w:rsidR="00C90A05" w:rsidRPr="00C90A05" w:rsidRDefault="00C90A05" w:rsidP="00C90A05">
            <w:pPr>
              <w:jc w:val="center"/>
              <w:rPr>
                <w:rFonts w:cs="Arial"/>
                <w:color w:val="000000" w:themeColor="text1"/>
                <w:sz w:val="18"/>
                <w:szCs w:val="20"/>
              </w:rPr>
            </w:pPr>
            <w:r w:rsidRPr="00C90A05">
              <w:rPr>
                <w:rFonts w:cs="Arial"/>
                <w:sz w:val="18"/>
                <w:szCs w:val="20"/>
              </w:rPr>
              <w:t>1.61 - 2.46</w:t>
            </w:r>
          </w:p>
        </w:tc>
      </w:tr>
      <w:tr w:rsidR="00C90A05" w14:paraId="5668AF2D" w14:textId="77777777" w:rsidTr="0076249A">
        <w:trPr>
          <w:trHeight w:val="340"/>
        </w:trPr>
        <w:tc>
          <w:tcPr>
            <w:tcW w:w="1695" w:type="dxa"/>
            <w:tcBorders>
              <w:top w:val="nil"/>
              <w:left w:val="nil"/>
              <w:bottom w:val="nil"/>
              <w:right w:val="nil"/>
            </w:tcBorders>
            <w:shd w:val="clear" w:color="auto" w:fill="D9D9D9" w:themeFill="background1" w:themeFillShade="D9"/>
            <w:vAlign w:val="center"/>
          </w:tcPr>
          <w:p w14:paraId="4A74840F" w14:textId="77777777" w:rsidR="00C90A05" w:rsidRPr="002433D5" w:rsidRDefault="00C90A05" w:rsidP="00C90A05">
            <w:pPr>
              <w:rPr>
                <w:rFonts w:cs="Arial"/>
                <w:color w:val="000000" w:themeColor="text1"/>
                <w:sz w:val="20"/>
                <w:szCs w:val="18"/>
              </w:rPr>
            </w:pPr>
            <w:r w:rsidRPr="002433D5">
              <w:rPr>
                <w:sz w:val="20"/>
                <w:szCs w:val="18"/>
              </w:rPr>
              <w:t>Serine</w:t>
            </w:r>
          </w:p>
        </w:tc>
        <w:tc>
          <w:tcPr>
            <w:tcW w:w="1435" w:type="dxa"/>
            <w:tcBorders>
              <w:top w:val="nil"/>
              <w:left w:val="nil"/>
              <w:bottom w:val="nil"/>
              <w:right w:val="nil"/>
            </w:tcBorders>
            <w:shd w:val="clear" w:color="auto" w:fill="D9D9D9" w:themeFill="background1" w:themeFillShade="D9"/>
            <w:vAlign w:val="center"/>
          </w:tcPr>
          <w:p w14:paraId="72FB1048" w14:textId="58CA2081" w:rsidR="00C90A05" w:rsidRPr="00C90A05" w:rsidRDefault="00C90A05" w:rsidP="00C90A05">
            <w:pPr>
              <w:jc w:val="center"/>
              <w:rPr>
                <w:rFonts w:cs="Arial"/>
                <w:color w:val="000000" w:themeColor="text1"/>
                <w:sz w:val="18"/>
                <w:szCs w:val="20"/>
              </w:rPr>
            </w:pPr>
            <w:r w:rsidRPr="00C90A05">
              <w:rPr>
                <w:rFonts w:cs="Arial"/>
                <w:sz w:val="18"/>
                <w:szCs w:val="20"/>
              </w:rPr>
              <w:t>2.11 ± 0.11</w:t>
            </w:r>
          </w:p>
        </w:tc>
        <w:tc>
          <w:tcPr>
            <w:tcW w:w="1423" w:type="dxa"/>
            <w:tcBorders>
              <w:top w:val="nil"/>
              <w:left w:val="nil"/>
              <w:bottom w:val="nil"/>
              <w:right w:val="nil"/>
            </w:tcBorders>
            <w:shd w:val="clear" w:color="auto" w:fill="D9D9D9" w:themeFill="background1" w:themeFillShade="D9"/>
            <w:vAlign w:val="center"/>
          </w:tcPr>
          <w:p w14:paraId="24AC9C62" w14:textId="661AD800" w:rsidR="00C90A05" w:rsidRPr="00C90A05" w:rsidRDefault="00C90A05" w:rsidP="00C90A05">
            <w:pPr>
              <w:jc w:val="center"/>
              <w:rPr>
                <w:rFonts w:cs="Arial"/>
                <w:color w:val="000000" w:themeColor="text1"/>
                <w:sz w:val="18"/>
                <w:szCs w:val="20"/>
              </w:rPr>
            </w:pPr>
            <w:r w:rsidRPr="00C90A05">
              <w:rPr>
                <w:rFonts w:cs="Arial"/>
                <w:sz w:val="18"/>
                <w:szCs w:val="20"/>
              </w:rPr>
              <w:t>2.13 ± 0.12</w:t>
            </w:r>
          </w:p>
        </w:tc>
        <w:tc>
          <w:tcPr>
            <w:tcW w:w="1416" w:type="dxa"/>
            <w:tcBorders>
              <w:top w:val="nil"/>
              <w:left w:val="nil"/>
              <w:bottom w:val="nil"/>
              <w:right w:val="nil"/>
            </w:tcBorders>
            <w:shd w:val="clear" w:color="auto" w:fill="D9D9D9" w:themeFill="background1" w:themeFillShade="D9"/>
            <w:vAlign w:val="center"/>
          </w:tcPr>
          <w:p w14:paraId="0CF829C1" w14:textId="4504F868" w:rsidR="00C90A05" w:rsidRPr="00C90A05" w:rsidRDefault="00C90A05" w:rsidP="00C90A05">
            <w:pPr>
              <w:jc w:val="center"/>
              <w:rPr>
                <w:rFonts w:cs="Arial"/>
                <w:color w:val="000000" w:themeColor="text1"/>
                <w:sz w:val="18"/>
                <w:szCs w:val="20"/>
              </w:rPr>
            </w:pPr>
            <w:r w:rsidRPr="00C90A05">
              <w:rPr>
                <w:rFonts w:cs="Arial"/>
                <w:sz w:val="18"/>
                <w:szCs w:val="20"/>
              </w:rPr>
              <w:t>2.13 ± 0.13</w:t>
            </w:r>
          </w:p>
        </w:tc>
        <w:tc>
          <w:tcPr>
            <w:tcW w:w="1423" w:type="dxa"/>
            <w:tcBorders>
              <w:top w:val="nil"/>
              <w:left w:val="nil"/>
              <w:bottom w:val="nil"/>
              <w:right w:val="nil"/>
            </w:tcBorders>
            <w:shd w:val="clear" w:color="auto" w:fill="D9D9D9" w:themeFill="background1" w:themeFillShade="D9"/>
            <w:vAlign w:val="center"/>
          </w:tcPr>
          <w:p w14:paraId="276695E6" w14:textId="6BD41315" w:rsidR="00C90A05" w:rsidRPr="00C90A05" w:rsidRDefault="00C90A05" w:rsidP="00C90A05">
            <w:pPr>
              <w:jc w:val="center"/>
              <w:rPr>
                <w:rFonts w:cs="Arial"/>
                <w:color w:val="000000" w:themeColor="text1"/>
                <w:sz w:val="18"/>
                <w:szCs w:val="20"/>
              </w:rPr>
            </w:pPr>
            <w:r w:rsidRPr="00C90A05">
              <w:rPr>
                <w:rFonts w:cs="Arial"/>
                <w:sz w:val="18"/>
                <w:szCs w:val="20"/>
              </w:rPr>
              <w:t>1.71 - 2.35</w:t>
            </w:r>
          </w:p>
        </w:tc>
        <w:tc>
          <w:tcPr>
            <w:tcW w:w="1668" w:type="dxa"/>
            <w:tcBorders>
              <w:top w:val="nil"/>
              <w:left w:val="nil"/>
              <w:bottom w:val="nil"/>
              <w:right w:val="nil"/>
            </w:tcBorders>
            <w:shd w:val="clear" w:color="auto" w:fill="D9D9D9" w:themeFill="background1" w:themeFillShade="D9"/>
            <w:vAlign w:val="center"/>
          </w:tcPr>
          <w:p w14:paraId="259168A8" w14:textId="5FE1C84C" w:rsidR="00C90A05" w:rsidRPr="00C90A05" w:rsidRDefault="00C90A05" w:rsidP="00C90A05">
            <w:pPr>
              <w:jc w:val="center"/>
              <w:rPr>
                <w:rFonts w:cs="Arial"/>
                <w:color w:val="000000" w:themeColor="text1"/>
                <w:sz w:val="18"/>
                <w:szCs w:val="20"/>
              </w:rPr>
            </w:pPr>
            <w:r w:rsidRPr="00C90A05">
              <w:rPr>
                <w:rFonts w:cs="Arial"/>
                <w:sz w:val="18"/>
                <w:szCs w:val="20"/>
              </w:rPr>
              <w:t>1.67 - 2.46</w:t>
            </w:r>
          </w:p>
        </w:tc>
      </w:tr>
      <w:tr w:rsidR="00C90A05" w14:paraId="67F93C60" w14:textId="77777777" w:rsidTr="0076249A">
        <w:trPr>
          <w:trHeight w:val="340"/>
        </w:trPr>
        <w:tc>
          <w:tcPr>
            <w:tcW w:w="1695" w:type="dxa"/>
            <w:tcBorders>
              <w:top w:val="nil"/>
              <w:left w:val="nil"/>
              <w:bottom w:val="nil"/>
              <w:right w:val="nil"/>
            </w:tcBorders>
            <w:vAlign w:val="center"/>
          </w:tcPr>
          <w:p w14:paraId="09152964" w14:textId="77777777" w:rsidR="00C90A05" w:rsidRPr="002433D5" w:rsidRDefault="00C90A05" w:rsidP="00C90A05">
            <w:pPr>
              <w:rPr>
                <w:rFonts w:cs="Arial"/>
                <w:color w:val="000000" w:themeColor="text1"/>
                <w:sz w:val="20"/>
                <w:szCs w:val="18"/>
              </w:rPr>
            </w:pPr>
            <w:r w:rsidRPr="002433D5">
              <w:rPr>
                <w:sz w:val="20"/>
                <w:szCs w:val="18"/>
              </w:rPr>
              <w:t>Threonine</w:t>
            </w:r>
          </w:p>
        </w:tc>
        <w:tc>
          <w:tcPr>
            <w:tcW w:w="1435" w:type="dxa"/>
            <w:tcBorders>
              <w:top w:val="nil"/>
              <w:left w:val="nil"/>
              <w:bottom w:val="nil"/>
              <w:right w:val="nil"/>
            </w:tcBorders>
            <w:vAlign w:val="center"/>
          </w:tcPr>
          <w:p w14:paraId="0BE1A537" w14:textId="5D4DCFD3" w:rsidR="00C90A05" w:rsidRPr="00C90A05" w:rsidRDefault="00C90A05" w:rsidP="00C90A05">
            <w:pPr>
              <w:jc w:val="center"/>
              <w:rPr>
                <w:rFonts w:cs="Arial"/>
                <w:color w:val="000000" w:themeColor="text1"/>
                <w:sz w:val="18"/>
                <w:szCs w:val="20"/>
              </w:rPr>
            </w:pPr>
            <w:r w:rsidRPr="00C90A05">
              <w:rPr>
                <w:rFonts w:cs="Arial"/>
                <w:sz w:val="18"/>
                <w:szCs w:val="20"/>
              </w:rPr>
              <w:t>1.63 ± 0.071</w:t>
            </w:r>
          </w:p>
        </w:tc>
        <w:tc>
          <w:tcPr>
            <w:tcW w:w="1423" w:type="dxa"/>
            <w:tcBorders>
              <w:top w:val="nil"/>
              <w:left w:val="nil"/>
              <w:bottom w:val="nil"/>
              <w:right w:val="nil"/>
            </w:tcBorders>
            <w:vAlign w:val="center"/>
          </w:tcPr>
          <w:p w14:paraId="6A8BF82F" w14:textId="2EDD7714" w:rsidR="00C90A05" w:rsidRPr="00C90A05" w:rsidRDefault="00C90A05" w:rsidP="00C90A05">
            <w:pPr>
              <w:jc w:val="center"/>
              <w:rPr>
                <w:rFonts w:cs="Arial"/>
                <w:color w:val="000000" w:themeColor="text1"/>
                <w:sz w:val="18"/>
                <w:szCs w:val="20"/>
              </w:rPr>
            </w:pPr>
            <w:r w:rsidRPr="00C90A05">
              <w:rPr>
                <w:rFonts w:cs="Arial"/>
                <w:sz w:val="18"/>
                <w:szCs w:val="20"/>
              </w:rPr>
              <w:t>1.64 ± 0.085</w:t>
            </w:r>
          </w:p>
        </w:tc>
        <w:tc>
          <w:tcPr>
            <w:tcW w:w="1416" w:type="dxa"/>
            <w:tcBorders>
              <w:top w:val="nil"/>
              <w:left w:val="nil"/>
              <w:bottom w:val="nil"/>
              <w:right w:val="nil"/>
            </w:tcBorders>
            <w:vAlign w:val="center"/>
          </w:tcPr>
          <w:p w14:paraId="16BD0EAD" w14:textId="6ABA98A0" w:rsidR="00C90A05" w:rsidRPr="00C90A05" w:rsidRDefault="00C90A05" w:rsidP="00C90A05">
            <w:pPr>
              <w:jc w:val="center"/>
              <w:rPr>
                <w:rFonts w:cs="Arial"/>
                <w:color w:val="000000" w:themeColor="text1"/>
                <w:sz w:val="18"/>
                <w:szCs w:val="20"/>
              </w:rPr>
            </w:pPr>
            <w:r w:rsidRPr="00C90A05">
              <w:rPr>
                <w:rFonts w:cs="Arial"/>
                <w:sz w:val="18"/>
                <w:szCs w:val="20"/>
              </w:rPr>
              <w:t>1.64 ± 0.095</w:t>
            </w:r>
          </w:p>
        </w:tc>
        <w:tc>
          <w:tcPr>
            <w:tcW w:w="1423" w:type="dxa"/>
            <w:tcBorders>
              <w:top w:val="nil"/>
              <w:left w:val="nil"/>
              <w:bottom w:val="nil"/>
              <w:right w:val="nil"/>
            </w:tcBorders>
            <w:vAlign w:val="center"/>
          </w:tcPr>
          <w:p w14:paraId="6DE8B007" w14:textId="41ECEC63" w:rsidR="00C90A05" w:rsidRPr="00C90A05" w:rsidRDefault="00C90A05" w:rsidP="00C90A05">
            <w:pPr>
              <w:jc w:val="center"/>
              <w:rPr>
                <w:rFonts w:cs="Arial"/>
                <w:color w:val="000000" w:themeColor="text1"/>
                <w:sz w:val="18"/>
                <w:szCs w:val="20"/>
              </w:rPr>
            </w:pPr>
            <w:r w:rsidRPr="00C90A05">
              <w:rPr>
                <w:rFonts w:cs="Arial"/>
                <w:sz w:val="18"/>
                <w:szCs w:val="20"/>
              </w:rPr>
              <w:t>1.33 - 1.79</w:t>
            </w:r>
          </w:p>
        </w:tc>
        <w:tc>
          <w:tcPr>
            <w:tcW w:w="1668" w:type="dxa"/>
            <w:tcBorders>
              <w:top w:val="nil"/>
              <w:left w:val="nil"/>
              <w:bottom w:val="nil"/>
              <w:right w:val="nil"/>
            </w:tcBorders>
            <w:vAlign w:val="center"/>
          </w:tcPr>
          <w:p w14:paraId="12B5EAB1" w14:textId="73CDED9D" w:rsidR="00C90A05" w:rsidRPr="00C90A05" w:rsidRDefault="00C90A05" w:rsidP="00C90A05">
            <w:pPr>
              <w:jc w:val="center"/>
              <w:rPr>
                <w:rFonts w:cs="Arial"/>
                <w:color w:val="000000" w:themeColor="text1"/>
                <w:sz w:val="18"/>
                <w:szCs w:val="20"/>
              </w:rPr>
            </w:pPr>
            <w:r w:rsidRPr="00C90A05">
              <w:rPr>
                <w:rFonts w:cs="Arial"/>
                <w:sz w:val="18"/>
                <w:szCs w:val="20"/>
              </w:rPr>
              <w:t>1.30 - 1.88</w:t>
            </w:r>
          </w:p>
        </w:tc>
      </w:tr>
      <w:tr w:rsidR="00C90A05" w14:paraId="65D1FC1E" w14:textId="77777777" w:rsidTr="0076249A">
        <w:trPr>
          <w:trHeight w:val="340"/>
        </w:trPr>
        <w:tc>
          <w:tcPr>
            <w:tcW w:w="1695" w:type="dxa"/>
            <w:tcBorders>
              <w:top w:val="nil"/>
              <w:left w:val="nil"/>
              <w:bottom w:val="nil"/>
              <w:right w:val="nil"/>
            </w:tcBorders>
            <w:shd w:val="clear" w:color="auto" w:fill="D9D9D9" w:themeFill="background1" w:themeFillShade="D9"/>
            <w:vAlign w:val="center"/>
          </w:tcPr>
          <w:p w14:paraId="5F8E11EE" w14:textId="77777777" w:rsidR="00C90A05" w:rsidRPr="002433D5" w:rsidRDefault="00C90A05" w:rsidP="00C90A05">
            <w:pPr>
              <w:rPr>
                <w:rFonts w:cs="Arial"/>
                <w:color w:val="000000" w:themeColor="text1"/>
                <w:sz w:val="20"/>
                <w:szCs w:val="18"/>
              </w:rPr>
            </w:pPr>
            <w:r w:rsidRPr="002433D5">
              <w:rPr>
                <w:sz w:val="20"/>
                <w:szCs w:val="18"/>
              </w:rPr>
              <w:t>Tryptophan</w:t>
            </w:r>
          </w:p>
        </w:tc>
        <w:tc>
          <w:tcPr>
            <w:tcW w:w="1435" w:type="dxa"/>
            <w:tcBorders>
              <w:top w:val="nil"/>
              <w:left w:val="nil"/>
              <w:bottom w:val="nil"/>
              <w:right w:val="nil"/>
            </w:tcBorders>
            <w:shd w:val="clear" w:color="auto" w:fill="D9D9D9" w:themeFill="background1" w:themeFillShade="D9"/>
            <w:vAlign w:val="center"/>
          </w:tcPr>
          <w:p w14:paraId="6852B63E" w14:textId="0D2ABF20" w:rsidR="00C90A05" w:rsidRPr="00C90A05" w:rsidRDefault="00C90A05" w:rsidP="00C90A05">
            <w:pPr>
              <w:jc w:val="center"/>
              <w:rPr>
                <w:rFonts w:cs="Arial"/>
                <w:color w:val="000000" w:themeColor="text1"/>
                <w:sz w:val="18"/>
                <w:szCs w:val="20"/>
              </w:rPr>
            </w:pPr>
            <w:r w:rsidRPr="00C90A05">
              <w:rPr>
                <w:rFonts w:cs="Arial"/>
                <w:sz w:val="18"/>
                <w:szCs w:val="20"/>
              </w:rPr>
              <w:t>0.542 ± 0.025</w:t>
            </w:r>
          </w:p>
        </w:tc>
        <w:tc>
          <w:tcPr>
            <w:tcW w:w="1423" w:type="dxa"/>
            <w:tcBorders>
              <w:top w:val="nil"/>
              <w:left w:val="nil"/>
              <w:bottom w:val="nil"/>
              <w:right w:val="nil"/>
            </w:tcBorders>
            <w:shd w:val="clear" w:color="auto" w:fill="D9D9D9" w:themeFill="background1" w:themeFillShade="D9"/>
            <w:vAlign w:val="center"/>
          </w:tcPr>
          <w:p w14:paraId="4826601C" w14:textId="012E1682" w:rsidR="00C90A05" w:rsidRPr="00C90A05" w:rsidRDefault="00C90A05" w:rsidP="00C90A05">
            <w:pPr>
              <w:jc w:val="center"/>
              <w:rPr>
                <w:rFonts w:cs="Arial"/>
                <w:color w:val="000000" w:themeColor="text1"/>
                <w:sz w:val="18"/>
                <w:szCs w:val="20"/>
              </w:rPr>
            </w:pPr>
            <w:r w:rsidRPr="00C90A05">
              <w:rPr>
                <w:rFonts w:cs="Arial"/>
                <w:sz w:val="18"/>
                <w:szCs w:val="20"/>
              </w:rPr>
              <w:t>0.527 ± 0.041</w:t>
            </w:r>
          </w:p>
        </w:tc>
        <w:tc>
          <w:tcPr>
            <w:tcW w:w="1416" w:type="dxa"/>
            <w:tcBorders>
              <w:top w:val="nil"/>
              <w:left w:val="nil"/>
              <w:bottom w:val="nil"/>
              <w:right w:val="nil"/>
            </w:tcBorders>
            <w:shd w:val="clear" w:color="auto" w:fill="D9D9D9" w:themeFill="background1" w:themeFillShade="D9"/>
            <w:vAlign w:val="center"/>
          </w:tcPr>
          <w:p w14:paraId="0341E81E" w14:textId="137E3314" w:rsidR="00C90A05" w:rsidRPr="00C90A05" w:rsidRDefault="00C90A05" w:rsidP="00C90A05">
            <w:pPr>
              <w:jc w:val="center"/>
              <w:rPr>
                <w:rFonts w:cs="Arial"/>
                <w:color w:val="000000" w:themeColor="text1"/>
                <w:sz w:val="18"/>
                <w:szCs w:val="20"/>
              </w:rPr>
            </w:pPr>
            <w:r w:rsidRPr="00C90A05">
              <w:rPr>
                <w:rFonts w:cs="Arial"/>
                <w:sz w:val="18"/>
                <w:szCs w:val="20"/>
              </w:rPr>
              <w:t>0.531 ± 0.022</w:t>
            </w:r>
          </w:p>
        </w:tc>
        <w:tc>
          <w:tcPr>
            <w:tcW w:w="1423" w:type="dxa"/>
            <w:tcBorders>
              <w:top w:val="nil"/>
              <w:left w:val="nil"/>
              <w:bottom w:val="nil"/>
              <w:right w:val="nil"/>
            </w:tcBorders>
            <w:shd w:val="clear" w:color="auto" w:fill="D9D9D9" w:themeFill="background1" w:themeFillShade="D9"/>
            <w:vAlign w:val="center"/>
          </w:tcPr>
          <w:p w14:paraId="1272877D" w14:textId="39357133" w:rsidR="00C90A05" w:rsidRPr="00C90A05" w:rsidRDefault="00C90A05" w:rsidP="00C90A05">
            <w:pPr>
              <w:jc w:val="center"/>
              <w:rPr>
                <w:rFonts w:cs="Arial"/>
                <w:color w:val="000000" w:themeColor="text1"/>
                <w:sz w:val="18"/>
                <w:szCs w:val="20"/>
              </w:rPr>
            </w:pPr>
            <w:r w:rsidRPr="00C90A05">
              <w:rPr>
                <w:rFonts w:cs="Arial"/>
                <w:sz w:val="18"/>
                <w:szCs w:val="20"/>
              </w:rPr>
              <w:t>0.370 - 0.603</w:t>
            </w:r>
          </w:p>
        </w:tc>
        <w:tc>
          <w:tcPr>
            <w:tcW w:w="1668" w:type="dxa"/>
            <w:tcBorders>
              <w:top w:val="nil"/>
              <w:left w:val="nil"/>
              <w:bottom w:val="nil"/>
              <w:right w:val="nil"/>
            </w:tcBorders>
            <w:shd w:val="clear" w:color="auto" w:fill="D9D9D9" w:themeFill="background1" w:themeFillShade="D9"/>
            <w:vAlign w:val="center"/>
          </w:tcPr>
          <w:p w14:paraId="4EC48FEB" w14:textId="3E21905A" w:rsidR="00C90A05" w:rsidRPr="00C90A05" w:rsidRDefault="00C90A05" w:rsidP="00C90A05">
            <w:pPr>
              <w:jc w:val="center"/>
              <w:rPr>
                <w:rFonts w:cs="Arial"/>
                <w:color w:val="000000" w:themeColor="text1"/>
                <w:sz w:val="18"/>
                <w:szCs w:val="20"/>
              </w:rPr>
            </w:pPr>
            <w:r w:rsidRPr="00C90A05">
              <w:rPr>
                <w:rFonts w:cs="Arial"/>
                <w:sz w:val="18"/>
                <w:szCs w:val="20"/>
              </w:rPr>
              <w:t>0.398 - 0.624</w:t>
            </w:r>
          </w:p>
        </w:tc>
      </w:tr>
      <w:tr w:rsidR="00C90A05" w14:paraId="35A04206" w14:textId="77777777" w:rsidTr="0076249A">
        <w:trPr>
          <w:trHeight w:val="340"/>
        </w:trPr>
        <w:tc>
          <w:tcPr>
            <w:tcW w:w="1695" w:type="dxa"/>
            <w:tcBorders>
              <w:top w:val="nil"/>
              <w:left w:val="nil"/>
              <w:bottom w:val="nil"/>
              <w:right w:val="nil"/>
            </w:tcBorders>
            <w:vAlign w:val="center"/>
          </w:tcPr>
          <w:p w14:paraId="43C1EB42" w14:textId="77777777" w:rsidR="00C90A05" w:rsidRPr="002433D5" w:rsidRDefault="00C90A05" w:rsidP="00C90A05">
            <w:pPr>
              <w:rPr>
                <w:sz w:val="20"/>
                <w:szCs w:val="18"/>
              </w:rPr>
            </w:pPr>
            <w:r>
              <w:rPr>
                <w:sz w:val="20"/>
                <w:szCs w:val="18"/>
              </w:rPr>
              <w:t>Tyrosine</w:t>
            </w:r>
          </w:p>
        </w:tc>
        <w:tc>
          <w:tcPr>
            <w:tcW w:w="1435" w:type="dxa"/>
            <w:tcBorders>
              <w:top w:val="nil"/>
              <w:left w:val="nil"/>
              <w:bottom w:val="nil"/>
              <w:right w:val="nil"/>
            </w:tcBorders>
            <w:vAlign w:val="center"/>
          </w:tcPr>
          <w:p w14:paraId="016B0D16" w14:textId="3BF2F090" w:rsidR="00C90A05" w:rsidRPr="00C90A05" w:rsidRDefault="00C90A05" w:rsidP="00C90A05">
            <w:pPr>
              <w:jc w:val="center"/>
              <w:rPr>
                <w:rFonts w:cs="Arial"/>
                <w:color w:val="000000"/>
                <w:sz w:val="18"/>
                <w:szCs w:val="20"/>
              </w:rPr>
            </w:pPr>
            <w:r w:rsidRPr="00C90A05">
              <w:rPr>
                <w:rFonts w:cs="Arial"/>
                <w:sz w:val="18"/>
                <w:szCs w:val="20"/>
              </w:rPr>
              <w:t>1.24 ± 0.10</w:t>
            </w:r>
          </w:p>
        </w:tc>
        <w:tc>
          <w:tcPr>
            <w:tcW w:w="1423" w:type="dxa"/>
            <w:tcBorders>
              <w:top w:val="nil"/>
              <w:left w:val="nil"/>
              <w:bottom w:val="nil"/>
              <w:right w:val="nil"/>
            </w:tcBorders>
            <w:vAlign w:val="center"/>
          </w:tcPr>
          <w:p w14:paraId="02E1AAC3" w14:textId="60221D57" w:rsidR="00C90A05" w:rsidRPr="00C90A05" w:rsidRDefault="00C90A05" w:rsidP="00C90A05">
            <w:pPr>
              <w:jc w:val="center"/>
              <w:rPr>
                <w:rFonts w:cs="Arial"/>
                <w:sz w:val="18"/>
                <w:szCs w:val="20"/>
                <w:lang w:eastAsia="en-GB" w:bidi="ar-SA"/>
              </w:rPr>
            </w:pPr>
            <w:r w:rsidRPr="00C90A05">
              <w:rPr>
                <w:rFonts w:cs="Arial"/>
                <w:sz w:val="18"/>
                <w:szCs w:val="20"/>
              </w:rPr>
              <w:t>1.26 ± 0.10</w:t>
            </w:r>
          </w:p>
        </w:tc>
        <w:tc>
          <w:tcPr>
            <w:tcW w:w="1416" w:type="dxa"/>
            <w:tcBorders>
              <w:top w:val="nil"/>
              <w:left w:val="nil"/>
              <w:bottom w:val="nil"/>
              <w:right w:val="nil"/>
            </w:tcBorders>
            <w:vAlign w:val="center"/>
          </w:tcPr>
          <w:p w14:paraId="26609CEF" w14:textId="6B7A50E4" w:rsidR="00C90A05" w:rsidRPr="00C90A05" w:rsidRDefault="00C90A05" w:rsidP="00C90A05">
            <w:pPr>
              <w:jc w:val="center"/>
              <w:rPr>
                <w:rFonts w:cs="Arial"/>
                <w:sz w:val="18"/>
                <w:szCs w:val="20"/>
                <w:lang w:eastAsia="en-GB" w:bidi="ar-SA"/>
              </w:rPr>
            </w:pPr>
            <w:r w:rsidRPr="00C90A05">
              <w:rPr>
                <w:rFonts w:cs="Arial"/>
                <w:sz w:val="18"/>
                <w:szCs w:val="20"/>
              </w:rPr>
              <w:t>1.25 ± 0.12</w:t>
            </w:r>
          </w:p>
        </w:tc>
        <w:tc>
          <w:tcPr>
            <w:tcW w:w="1423" w:type="dxa"/>
            <w:tcBorders>
              <w:top w:val="nil"/>
              <w:left w:val="nil"/>
              <w:bottom w:val="nil"/>
              <w:right w:val="nil"/>
            </w:tcBorders>
            <w:vAlign w:val="center"/>
          </w:tcPr>
          <w:p w14:paraId="63715499" w14:textId="52448632" w:rsidR="00C90A05" w:rsidRPr="00C90A05" w:rsidRDefault="00C90A05" w:rsidP="00C90A05">
            <w:pPr>
              <w:jc w:val="center"/>
              <w:rPr>
                <w:rFonts w:cs="Arial"/>
                <w:sz w:val="18"/>
                <w:szCs w:val="20"/>
                <w:lang w:eastAsia="en-GB" w:bidi="ar-SA"/>
              </w:rPr>
            </w:pPr>
            <w:r w:rsidRPr="00C90A05">
              <w:rPr>
                <w:rFonts w:cs="Arial"/>
                <w:sz w:val="18"/>
                <w:szCs w:val="20"/>
              </w:rPr>
              <w:t>0.92 - 1.46</w:t>
            </w:r>
          </w:p>
        </w:tc>
        <w:tc>
          <w:tcPr>
            <w:tcW w:w="1668" w:type="dxa"/>
            <w:tcBorders>
              <w:top w:val="nil"/>
              <w:left w:val="nil"/>
              <w:bottom w:val="nil"/>
              <w:right w:val="nil"/>
            </w:tcBorders>
            <w:vAlign w:val="center"/>
          </w:tcPr>
          <w:p w14:paraId="0DC765FD" w14:textId="28ABB153" w:rsidR="00C90A05" w:rsidRPr="00C90A05" w:rsidRDefault="00C90A05" w:rsidP="00C90A05">
            <w:pPr>
              <w:jc w:val="center"/>
              <w:rPr>
                <w:rFonts w:cs="Arial"/>
                <w:sz w:val="18"/>
                <w:szCs w:val="20"/>
                <w:lang w:eastAsia="en-GB" w:bidi="ar-SA"/>
              </w:rPr>
            </w:pPr>
            <w:r w:rsidRPr="00C90A05">
              <w:rPr>
                <w:rFonts w:cs="Arial"/>
                <w:sz w:val="18"/>
                <w:szCs w:val="20"/>
              </w:rPr>
              <w:t>0.88 - 1.56</w:t>
            </w:r>
          </w:p>
        </w:tc>
      </w:tr>
      <w:tr w:rsidR="00C90A05" w14:paraId="63ACB437" w14:textId="77777777" w:rsidTr="0076249A">
        <w:trPr>
          <w:trHeight w:val="340"/>
        </w:trPr>
        <w:tc>
          <w:tcPr>
            <w:tcW w:w="1695" w:type="dxa"/>
            <w:tcBorders>
              <w:top w:val="nil"/>
              <w:left w:val="nil"/>
              <w:bottom w:val="nil"/>
              <w:right w:val="nil"/>
            </w:tcBorders>
            <w:shd w:val="clear" w:color="auto" w:fill="D9D9D9" w:themeFill="background1" w:themeFillShade="D9"/>
            <w:vAlign w:val="center"/>
          </w:tcPr>
          <w:p w14:paraId="6011B2F9" w14:textId="77777777" w:rsidR="00C90A05" w:rsidRPr="002433D5" w:rsidRDefault="00C90A05" w:rsidP="00C90A05">
            <w:pPr>
              <w:rPr>
                <w:sz w:val="20"/>
                <w:szCs w:val="18"/>
              </w:rPr>
            </w:pPr>
            <w:r>
              <w:rPr>
                <w:sz w:val="20"/>
                <w:szCs w:val="18"/>
              </w:rPr>
              <w:t>Valine</w:t>
            </w:r>
          </w:p>
        </w:tc>
        <w:tc>
          <w:tcPr>
            <w:tcW w:w="1435" w:type="dxa"/>
            <w:tcBorders>
              <w:top w:val="nil"/>
              <w:left w:val="nil"/>
              <w:bottom w:val="nil"/>
              <w:right w:val="nil"/>
            </w:tcBorders>
            <w:shd w:val="clear" w:color="auto" w:fill="D9D9D9" w:themeFill="background1" w:themeFillShade="D9"/>
            <w:vAlign w:val="center"/>
          </w:tcPr>
          <w:p w14:paraId="220BEFA6" w14:textId="72039828" w:rsidR="00C90A05" w:rsidRPr="00C90A05" w:rsidRDefault="00C90A05" w:rsidP="00C90A05">
            <w:pPr>
              <w:jc w:val="center"/>
              <w:rPr>
                <w:rFonts w:cs="Arial"/>
                <w:color w:val="000000"/>
                <w:sz w:val="18"/>
                <w:szCs w:val="20"/>
              </w:rPr>
            </w:pPr>
            <w:r w:rsidRPr="00C90A05">
              <w:rPr>
                <w:rFonts w:cs="Arial"/>
                <w:sz w:val="18"/>
                <w:szCs w:val="20"/>
              </w:rPr>
              <w:t>1.90 ± 0.076</w:t>
            </w:r>
          </w:p>
        </w:tc>
        <w:tc>
          <w:tcPr>
            <w:tcW w:w="1423" w:type="dxa"/>
            <w:tcBorders>
              <w:top w:val="nil"/>
              <w:left w:val="nil"/>
              <w:bottom w:val="nil"/>
              <w:right w:val="nil"/>
            </w:tcBorders>
            <w:shd w:val="clear" w:color="auto" w:fill="D9D9D9" w:themeFill="background1" w:themeFillShade="D9"/>
            <w:vAlign w:val="center"/>
          </w:tcPr>
          <w:p w14:paraId="3EF56A14" w14:textId="17CC8194" w:rsidR="00C90A05" w:rsidRPr="00C90A05" w:rsidRDefault="00C90A05" w:rsidP="00C90A05">
            <w:pPr>
              <w:jc w:val="center"/>
              <w:rPr>
                <w:rFonts w:cs="Arial"/>
                <w:sz w:val="18"/>
                <w:szCs w:val="20"/>
                <w:lang w:eastAsia="en-GB" w:bidi="ar-SA"/>
              </w:rPr>
            </w:pPr>
            <w:r w:rsidRPr="00C90A05">
              <w:rPr>
                <w:rFonts w:cs="Arial"/>
                <w:sz w:val="18"/>
                <w:szCs w:val="20"/>
              </w:rPr>
              <w:t>1.92 ± 0.084</w:t>
            </w:r>
          </w:p>
        </w:tc>
        <w:tc>
          <w:tcPr>
            <w:tcW w:w="1416" w:type="dxa"/>
            <w:tcBorders>
              <w:top w:val="nil"/>
              <w:left w:val="nil"/>
              <w:bottom w:val="nil"/>
              <w:right w:val="nil"/>
            </w:tcBorders>
            <w:shd w:val="clear" w:color="auto" w:fill="D9D9D9" w:themeFill="background1" w:themeFillShade="D9"/>
            <w:vAlign w:val="center"/>
          </w:tcPr>
          <w:p w14:paraId="67F352A3" w14:textId="4E7E37BC" w:rsidR="00C90A05" w:rsidRPr="00C90A05" w:rsidRDefault="00C90A05" w:rsidP="00C90A05">
            <w:pPr>
              <w:jc w:val="center"/>
              <w:rPr>
                <w:rFonts w:cs="Arial"/>
                <w:sz w:val="18"/>
                <w:szCs w:val="20"/>
                <w:lang w:eastAsia="en-GB" w:bidi="ar-SA"/>
              </w:rPr>
            </w:pPr>
            <w:r w:rsidRPr="00C90A05">
              <w:rPr>
                <w:rFonts w:cs="Arial"/>
                <w:sz w:val="18"/>
                <w:szCs w:val="20"/>
              </w:rPr>
              <w:t>1.93 ± 0.104</w:t>
            </w:r>
          </w:p>
        </w:tc>
        <w:tc>
          <w:tcPr>
            <w:tcW w:w="1423" w:type="dxa"/>
            <w:tcBorders>
              <w:top w:val="nil"/>
              <w:left w:val="nil"/>
              <w:bottom w:val="nil"/>
              <w:right w:val="nil"/>
            </w:tcBorders>
            <w:shd w:val="clear" w:color="auto" w:fill="D9D9D9" w:themeFill="background1" w:themeFillShade="D9"/>
            <w:vAlign w:val="center"/>
          </w:tcPr>
          <w:p w14:paraId="7CB61B17" w14:textId="29DD0FBF" w:rsidR="00C90A05" w:rsidRPr="00C90A05" w:rsidRDefault="00C90A05" w:rsidP="00C90A05">
            <w:pPr>
              <w:jc w:val="center"/>
              <w:rPr>
                <w:rFonts w:cs="Arial"/>
                <w:sz w:val="18"/>
                <w:szCs w:val="20"/>
                <w:lang w:eastAsia="en-GB" w:bidi="ar-SA"/>
              </w:rPr>
            </w:pPr>
            <w:r w:rsidRPr="00C90A05">
              <w:rPr>
                <w:rFonts w:cs="Arial"/>
                <w:sz w:val="18"/>
                <w:szCs w:val="20"/>
              </w:rPr>
              <w:t>1.55 - 2.21</w:t>
            </w:r>
          </w:p>
        </w:tc>
        <w:tc>
          <w:tcPr>
            <w:tcW w:w="1668" w:type="dxa"/>
            <w:tcBorders>
              <w:top w:val="nil"/>
              <w:left w:val="nil"/>
              <w:bottom w:val="nil"/>
              <w:right w:val="nil"/>
            </w:tcBorders>
            <w:shd w:val="clear" w:color="auto" w:fill="D9D9D9" w:themeFill="background1" w:themeFillShade="D9"/>
            <w:vAlign w:val="center"/>
          </w:tcPr>
          <w:p w14:paraId="713A466D" w14:textId="5DBE94D1" w:rsidR="00C90A05" w:rsidRPr="00C90A05" w:rsidRDefault="00C90A05" w:rsidP="00C90A05">
            <w:pPr>
              <w:jc w:val="center"/>
              <w:rPr>
                <w:rFonts w:cs="Arial"/>
                <w:sz w:val="18"/>
                <w:szCs w:val="20"/>
                <w:lang w:eastAsia="en-GB" w:bidi="ar-SA"/>
              </w:rPr>
            </w:pPr>
            <w:r w:rsidRPr="00C90A05">
              <w:rPr>
                <w:rFonts w:cs="Arial"/>
                <w:sz w:val="18"/>
                <w:szCs w:val="20"/>
              </w:rPr>
              <w:t>1.52 - 2.23</w:t>
            </w:r>
          </w:p>
        </w:tc>
      </w:tr>
    </w:tbl>
    <w:p w14:paraId="57831C27" w14:textId="77777777" w:rsidR="00405B45" w:rsidRDefault="00405B45" w:rsidP="00977222">
      <w:pPr>
        <w:rPr>
          <w:color w:val="000000" w:themeColor="text1"/>
        </w:rPr>
      </w:pPr>
    </w:p>
    <w:p w14:paraId="39669C32" w14:textId="14B3641E" w:rsidR="00977222" w:rsidRDefault="00977222" w:rsidP="00221257">
      <w:pPr>
        <w:pStyle w:val="Heading3"/>
      </w:pPr>
      <w:bookmarkStart w:id="224" w:name="_Toc491439852"/>
      <w:bookmarkStart w:id="225" w:name="_Toc493515883"/>
      <w:bookmarkStart w:id="226" w:name="_Toc495489353"/>
      <w:bookmarkStart w:id="227" w:name="_Toc496169806"/>
      <w:r w:rsidRPr="00D53E1B">
        <w:t xml:space="preserve">5.3.3 </w:t>
      </w:r>
      <w:r>
        <w:tab/>
      </w:r>
      <w:r w:rsidR="00405B45">
        <w:t>Vitamins and minerals</w:t>
      </w:r>
      <w:bookmarkEnd w:id="224"/>
      <w:bookmarkEnd w:id="225"/>
      <w:bookmarkEnd w:id="226"/>
      <w:bookmarkEnd w:id="227"/>
    </w:p>
    <w:p w14:paraId="251F868B" w14:textId="765AB9BF" w:rsidR="00530121" w:rsidRDefault="00C90A05" w:rsidP="00977222">
      <w:pPr>
        <w:widowControl/>
        <w:rPr>
          <w:rFonts w:cs="Arial"/>
          <w:szCs w:val="22"/>
        </w:rPr>
      </w:pPr>
      <w:r>
        <w:rPr>
          <w:color w:val="000000" w:themeColor="text1"/>
        </w:rPr>
        <w:t>Sodium was excluded from the</w:t>
      </w:r>
      <w:r w:rsidRPr="00C90A05">
        <w:rPr>
          <w:rFonts w:cs="Arial"/>
          <w:szCs w:val="22"/>
        </w:rPr>
        <w:t xml:space="preserve"> </w:t>
      </w:r>
      <w:r w:rsidRPr="00A41AFA">
        <w:rPr>
          <w:rFonts w:cs="Arial"/>
          <w:szCs w:val="22"/>
        </w:rPr>
        <w:t>statistical summary</w:t>
      </w:r>
      <w:r>
        <w:rPr>
          <w:rFonts w:cs="Arial"/>
          <w:szCs w:val="22"/>
        </w:rPr>
        <w:t xml:space="preserve"> as there was</w:t>
      </w:r>
      <w:r w:rsidRPr="00A41AFA">
        <w:rPr>
          <w:rFonts w:cs="Arial"/>
          <w:szCs w:val="22"/>
        </w:rPr>
        <w:t xml:space="preserve"> more than </w:t>
      </w:r>
      <w:r>
        <w:rPr>
          <w:rFonts w:cs="Arial"/>
          <w:szCs w:val="22"/>
        </w:rPr>
        <w:t>2/3</w:t>
      </w:r>
      <w:r w:rsidRPr="00F4070E">
        <w:rPr>
          <w:rFonts w:cs="Arial"/>
          <w:szCs w:val="22"/>
          <w:vertAlign w:val="superscript"/>
        </w:rPr>
        <w:t>rd</w:t>
      </w:r>
      <w:r>
        <w:rPr>
          <w:rFonts w:cs="Arial"/>
          <w:szCs w:val="22"/>
        </w:rPr>
        <w:t xml:space="preserve"> </w:t>
      </w:r>
      <w:r w:rsidRPr="00A41AFA">
        <w:rPr>
          <w:rFonts w:cs="Arial"/>
          <w:szCs w:val="22"/>
        </w:rPr>
        <w:t>of observations below the LOQ</w:t>
      </w:r>
      <w:r>
        <w:rPr>
          <w:rFonts w:cs="Arial"/>
          <w:szCs w:val="22"/>
        </w:rPr>
        <w:t>.</w:t>
      </w:r>
    </w:p>
    <w:p w14:paraId="1194DDE2" w14:textId="77777777" w:rsidR="0076249A" w:rsidRDefault="0076249A" w:rsidP="00977222">
      <w:pPr>
        <w:widowControl/>
        <w:rPr>
          <w:rFonts w:cs="Arial"/>
          <w:szCs w:val="22"/>
        </w:rPr>
      </w:pPr>
    </w:p>
    <w:p w14:paraId="2E2C014D" w14:textId="33684503" w:rsidR="00977222" w:rsidRPr="00CB3819" w:rsidRDefault="00530121" w:rsidP="00977222">
      <w:pPr>
        <w:widowControl/>
        <w:rPr>
          <w:color w:val="000000" w:themeColor="text1"/>
        </w:rPr>
      </w:pPr>
      <w:r>
        <w:rPr>
          <w:rFonts w:cs="Arial"/>
          <w:szCs w:val="22"/>
        </w:rPr>
        <w:t>S</w:t>
      </w:r>
      <w:r w:rsidR="00977222">
        <w:rPr>
          <w:color w:val="000000" w:themeColor="text1"/>
        </w:rPr>
        <w:t>tatistically significant decrease</w:t>
      </w:r>
      <w:r>
        <w:rPr>
          <w:color w:val="000000" w:themeColor="text1"/>
        </w:rPr>
        <w:t>s</w:t>
      </w:r>
      <w:r w:rsidR="00977222">
        <w:rPr>
          <w:color w:val="000000" w:themeColor="text1"/>
        </w:rPr>
        <w:t xml:space="preserve"> </w:t>
      </w:r>
      <w:r>
        <w:rPr>
          <w:color w:val="000000" w:themeColor="text1"/>
        </w:rPr>
        <w:t>were</w:t>
      </w:r>
      <w:r w:rsidR="00977222">
        <w:rPr>
          <w:color w:val="000000" w:themeColor="text1"/>
        </w:rPr>
        <w:t xml:space="preserve"> observed for </w:t>
      </w:r>
      <w:r w:rsidR="00405B45">
        <w:rPr>
          <w:color w:val="000000" w:themeColor="text1"/>
        </w:rPr>
        <w:t>vitamin B1 and B9, and the minerals calcium, copper and zinc</w:t>
      </w:r>
      <w:r w:rsidR="00977222">
        <w:rPr>
          <w:color w:val="000000" w:themeColor="text1"/>
        </w:rPr>
        <w:t xml:space="preserve"> in </w:t>
      </w:r>
      <w:r w:rsidR="00405B45">
        <w:rPr>
          <w:color w:val="000000" w:themeColor="text1"/>
        </w:rPr>
        <w:t>the</w:t>
      </w:r>
      <w:r w:rsidR="00977222">
        <w:rPr>
          <w:color w:val="000000" w:themeColor="text1"/>
        </w:rPr>
        <w:t xml:space="preserve"> </w:t>
      </w:r>
      <w:r w:rsidR="00405B45">
        <w:rPr>
          <w:color w:val="000000" w:themeColor="text1"/>
        </w:rPr>
        <w:t>herbicide-</w:t>
      </w:r>
      <w:r w:rsidR="00977222">
        <w:rPr>
          <w:color w:val="000000" w:themeColor="text1"/>
        </w:rPr>
        <w:t xml:space="preserve">treated </w:t>
      </w:r>
      <w:r w:rsidR="00B53A1F">
        <w:rPr>
          <w:color w:val="000000" w:themeColor="text1"/>
        </w:rPr>
        <w:t>GMB151</w:t>
      </w:r>
      <w:r w:rsidR="00977222">
        <w:rPr>
          <w:color w:val="000000" w:themeColor="text1"/>
        </w:rPr>
        <w:t xml:space="preserve"> </w:t>
      </w:r>
      <w:r w:rsidR="00405B45">
        <w:rPr>
          <w:color w:val="000000" w:themeColor="text1"/>
        </w:rPr>
        <w:t xml:space="preserve">compared to control </w:t>
      </w:r>
      <w:r w:rsidR="00977222">
        <w:rPr>
          <w:color w:val="000000" w:themeColor="text1"/>
        </w:rPr>
        <w:t>(</w:t>
      </w:r>
      <w:hyperlink w:anchor="Table11" w:history="1">
        <w:r w:rsidR="00977222" w:rsidRPr="00666F68">
          <w:rPr>
            <w:rStyle w:val="Hyperlink"/>
          </w:rPr>
          <w:t>Table 11</w:t>
        </w:r>
      </w:hyperlink>
      <w:r w:rsidR="00977222">
        <w:rPr>
          <w:color w:val="000000" w:themeColor="text1"/>
        </w:rPr>
        <w:t xml:space="preserve">). </w:t>
      </w:r>
      <w:r w:rsidR="00405B45">
        <w:rPr>
          <w:color w:val="000000" w:themeColor="text1"/>
        </w:rPr>
        <w:t xml:space="preserve">There was also an increase in vitamin B5 in the herbicide-treated GMB151 compared to control. </w:t>
      </w:r>
      <w:r w:rsidR="00977222">
        <w:rPr>
          <w:color w:val="000000" w:themeColor="text1"/>
        </w:rPr>
        <w:t xml:space="preserve">The magnitude of the change ranged from </w:t>
      </w:r>
      <w:r w:rsidR="00405B45">
        <w:rPr>
          <w:color w:val="000000" w:themeColor="text1"/>
        </w:rPr>
        <w:t>8-23</w:t>
      </w:r>
      <w:r w:rsidR="00977222">
        <w:rPr>
          <w:color w:val="000000" w:themeColor="text1"/>
        </w:rPr>
        <w:t>%</w:t>
      </w:r>
      <w:r w:rsidR="00DD47AB">
        <w:rPr>
          <w:color w:val="000000" w:themeColor="text1"/>
        </w:rPr>
        <w:t>.</w:t>
      </w:r>
      <w:r w:rsidR="00977222" w:rsidRPr="009D36A4">
        <w:rPr>
          <w:color w:val="000000" w:themeColor="text1"/>
        </w:rPr>
        <w:t xml:space="preserve"> </w:t>
      </w:r>
      <w:r w:rsidR="00DD47AB">
        <w:rPr>
          <w:color w:val="000000" w:themeColor="text1"/>
        </w:rPr>
        <w:t>H</w:t>
      </w:r>
      <w:r w:rsidR="00977222">
        <w:rPr>
          <w:color w:val="000000" w:themeColor="text1"/>
        </w:rPr>
        <w:t>owever</w:t>
      </w:r>
      <w:r w:rsidR="00DD47AB">
        <w:rPr>
          <w:color w:val="000000" w:themeColor="text1"/>
        </w:rPr>
        <w:t>,</w:t>
      </w:r>
      <w:r w:rsidR="00977222">
        <w:rPr>
          <w:color w:val="000000" w:themeColor="text1"/>
        </w:rPr>
        <w:t xml:space="preserve"> the mean levels f</w:t>
      </w:r>
      <w:r w:rsidR="00AF6CE6">
        <w:rPr>
          <w:color w:val="000000" w:themeColor="text1"/>
        </w:rPr>
        <w:t>a</w:t>
      </w:r>
      <w:r w:rsidR="00977222">
        <w:rPr>
          <w:color w:val="000000" w:themeColor="text1"/>
        </w:rPr>
        <w:t xml:space="preserve">ll within the </w:t>
      </w:r>
      <w:r w:rsidR="002216B8">
        <w:rPr>
          <w:color w:val="000000" w:themeColor="text1"/>
        </w:rPr>
        <w:t xml:space="preserve">reference ranges and </w:t>
      </w:r>
      <w:r w:rsidR="00977222">
        <w:rPr>
          <w:color w:val="000000" w:themeColor="text1"/>
        </w:rPr>
        <w:t xml:space="preserve">tolerance interval, indicating that this difference was not biologically significant. </w:t>
      </w:r>
    </w:p>
    <w:p w14:paraId="52C6D18A" w14:textId="0435998E" w:rsidR="00D877D8" w:rsidRDefault="00D877D8">
      <w:pPr>
        <w:widowControl/>
        <w:rPr>
          <w:rFonts w:cs="Arial"/>
          <w:b/>
        </w:rPr>
      </w:pPr>
    </w:p>
    <w:p w14:paraId="0F993CB1" w14:textId="1B81848D" w:rsidR="00977222" w:rsidRDefault="00977222" w:rsidP="00977222">
      <w:pPr>
        <w:pStyle w:val="FSTableTitle"/>
        <w:spacing w:after="120"/>
      </w:pPr>
      <w:bookmarkStart w:id="228" w:name="Table11"/>
      <w:r>
        <w:t>Table 11</w:t>
      </w:r>
      <w:bookmarkEnd w:id="228"/>
      <w:r>
        <w:t xml:space="preserve">: </w:t>
      </w:r>
      <w:r w:rsidRPr="00827952">
        <w:t xml:space="preserve">Comparison of </w:t>
      </w:r>
      <w:r w:rsidR="00C277A5">
        <w:t xml:space="preserve">Vitamins and </w:t>
      </w:r>
      <w:r>
        <w:t>Minerals (mg/kg DW)</w:t>
      </w:r>
    </w:p>
    <w:tbl>
      <w:tblPr>
        <w:tblStyle w:val="TableGrid"/>
        <w:tblW w:w="0" w:type="auto"/>
        <w:tblLook w:val="04A0" w:firstRow="1" w:lastRow="0" w:firstColumn="1" w:lastColumn="0" w:noHBand="0" w:noVBand="1"/>
        <w:tblCaption w:val="Table 11"/>
        <w:tblDescription w:val="Comparison of vitamins and minerals"/>
      </w:tblPr>
      <w:tblGrid>
        <w:gridCol w:w="1374"/>
        <w:gridCol w:w="1412"/>
        <w:gridCol w:w="1413"/>
        <w:gridCol w:w="1413"/>
        <w:gridCol w:w="1801"/>
        <w:gridCol w:w="1647"/>
      </w:tblGrid>
      <w:tr w:rsidR="00977222" w14:paraId="37049A1E" w14:textId="77777777" w:rsidTr="005D1D67">
        <w:trPr>
          <w:trHeight w:val="737"/>
          <w:tblHeader/>
        </w:trPr>
        <w:tc>
          <w:tcPr>
            <w:tcW w:w="1374" w:type="dxa"/>
            <w:vMerge w:val="restart"/>
            <w:tcBorders>
              <w:top w:val="nil"/>
              <w:left w:val="nil"/>
              <w:bottom w:val="nil"/>
              <w:right w:val="nil"/>
            </w:tcBorders>
            <w:shd w:val="clear" w:color="auto" w:fill="7F7F7F" w:themeFill="text1" w:themeFillTint="80"/>
            <w:vAlign w:val="center"/>
          </w:tcPr>
          <w:p w14:paraId="04BA0661" w14:textId="77777777" w:rsidR="00977222" w:rsidRPr="00EB6AE6" w:rsidRDefault="00977222" w:rsidP="006E49E2">
            <w:pPr>
              <w:rPr>
                <w:rFonts w:cs="Arial"/>
                <w:b/>
                <w:color w:val="FFFFFF" w:themeColor="background1"/>
                <w:sz w:val="20"/>
                <w:szCs w:val="20"/>
              </w:rPr>
            </w:pPr>
            <w:r w:rsidRPr="00EB6AE6">
              <w:rPr>
                <w:rFonts w:cs="Arial"/>
                <w:b/>
                <w:color w:val="FFFFFF" w:themeColor="background1"/>
                <w:sz w:val="20"/>
                <w:szCs w:val="20"/>
              </w:rPr>
              <w:t>Parameter</w:t>
            </w:r>
          </w:p>
        </w:tc>
        <w:tc>
          <w:tcPr>
            <w:tcW w:w="1412" w:type="dxa"/>
            <w:tcBorders>
              <w:top w:val="nil"/>
              <w:left w:val="nil"/>
              <w:bottom w:val="nil"/>
              <w:right w:val="nil"/>
            </w:tcBorders>
            <w:shd w:val="clear" w:color="auto" w:fill="7F7F7F" w:themeFill="text1" w:themeFillTint="80"/>
            <w:vAlign w:val="center"/>
          </w:tcPr>
          <w:p w14:paraId="6F9373ED" w14:textId="77777777" w:rsidR="00977222" w:rsidRPr="00EB6AE6" w:rsidRDefault="00977222" w:rsidP="006E49E2">
            <w:pPr>
              <w:jc w:val="center"/>
              <w:rPr>
                <w:rFonts w:cs="Arial"/>
                <w:b/>
                <w:color w:val="FFFFFF" w:themeColor="background1"/>
                <w:sz w:val="20"/>
                <w:szCs w:val="20"/>
              </w:rPr>
            </w:pPr>
            <w:r w:rsidRPr="00EB6AE6">
              <w:rPr>
                <w:rFonts w:cs="Arial"/>
                <w:b/>
                <w:color w:val="FFFFFF" w:themeColor="background1"/>
                <w:sz w:val="20"/>
                <w:szCs w:val="20"/>
              </w:rPr>
              <w:t>Non-GM counterpart</w:t>
            </w:r>
          </w:p>
        </w:tc>
        <w:tc>
          <w:tcPr>
            <w:tcW w:w="1413" w:type="dxa"/>
            <w:tcBorders>
              <w:top w:val="nil"/>
              <w:left w:val="nil"/>
              <w:bottom w:val="nil"/>
              <w:right w:val="nil"/>
            </w:tcBorders>
            <w:shd w:val="clear" w:color="auto" w:fill="7F7F7F" w:themeFill="text1" w:themeFillTint="80"/>
            <w:vAlign w:val="center"/>
          </w:tcPr>
          <w:p w14:paraId="06D35040" w14:textId="3021763F" w:rsidR="00977222" w:rsidRPr="00EB6AE6" w:rsidRDefault="00B53A1F" w:rsidP="006E49E2">
            <w:pPr>
              <w:jc w:val="center"/>
              <w:rPr>
                <w:rFonts w:cs="Arial"/>
                <w:b/>
                <w:color w:val="FFFFFF" w:themeColor="background1"/>
                <w:sz w:val="20"/>
                <w:szCs w:val="20"/>
              </w:rPr>
            </w:pPr>
            <w:r w:rsidRPr="00EB6AE6">
              <w:rPr>
                <w:rFonts w:cs="Arial"/>
                <w:b/>
                <w:color w:val="FFFFFF" w:themeColor="background1"/>
                <w:sz w:val="20"/>
                <w:szCs w:val="20"/>
              </w:rPr>
              <w:t>GMB151</w:t>
            </w:r>
            <w:r w:rsidR="00977222" w:rsidRPr="00EB6AE6">
              <w:rPr>
                <w:rFonts w:cs="Arial"/>
                <w:b/>
                <w:color w:val="FFFFFF" w:themeColor="background1"/>
                <w:sz w:val="20"/>
                <w:szCs w:val="20"/>
              </w:rPr>
              <w:t xml:space="preserve"> untreated</w:t>
            </w:r>
          </w:p>
        </w:tc>
        <w:tc>
          <w:tcPr>
            <w:tcW w:w="1413" w:type="dxa"/>
            <w:tcBorders>
              <w:top w:val="nil"/>
              <w:left w:val="nil"/>
              <w:bottom w:val="nil"/>
              <w:right w:val="nil"/>
            </w:tcBorders>
            <w:shd w:val="clear" w:color="auto" w:fill="7F7F7F" w:themeFill="text1" w:themeFillTint="80"/>
            <w:vAlign w:val="center"/>
          </w:tcPr>
          <w:p w14:paraId="73BA522E" w14:textId="46655E7D" w:rsidR="00977222" w:rsidRPr="00EB6AE6" w:rsidRDefault="00B53A1F" w:rsidP="006E49E2">
            <w:pPr>
              <w:jc w:val="center"/>
              <w:rPr>
                <w:rFonts w:cs="Arial"/>
                <w:b/>
                <w:color w:val="FFFFFF" w:themeColor="background1"/>
                <w:sz w:val="20"/>
                <w:szCs w:val="20"/>
              </w:rPr>
            </w:pPr>
            <w:r w:rsidRPr="00EB6AE6">
              <w:rPr>
                <w:rFonts w:cs="Arial"/>
                <w:b/>
                <w:color w:val="FFFFFF" w:themeColor="background1"/>
                <w:sz w:val="20"/>
                <w:szCs w:val="20"/>
              </w:rPr>
              <w:t>GMB151</w:t>
            </w:r>
            <w:r w:rsidR="00977222" w:rsidRPr="00EB6AE6">
              <w:rPr>
                <w:rFonts w:cs="Arial"/>
                <w:b/>
                <w:color w:val="FFFFFF" w:themeColor="background1"/>
                <w:sz w:val="20"/>
                <w:szCs w:val="20"/>
              </w:rPr>
              <w:t xml:space="preserve"> treated</w:t>
            </w:r>
          </w:p>
        </w:tc>
        <w:tc>
          <w:tcPr>
            <w:tcW w:w="1801" w:type="dxa"/>
            <w:tcBorders>
              <w:top w:val="nil"/>
              <w:left w:val="nil"/>
              <w:bottom w:val="nil"/>
              <w:right w:val="nil"/>
            </w:tcBorders>
            <w:shd w:val="clear" w:color="auto" w:fill="7F7F7F" w:themeFill="text1" w:themeFillTint="80"/>
            <w:vAlign w:val="center"/>
          </w:tcPr>
          <w:p w14:paraId="4DEFB1FC" w14:textId="77777777" w:rsidR="00977222" w:rsidRPr="00EB6AE6" w:rsidRDefault="00977222" w:rsidP="006E49E2">
            <w:pPr>
              <w:jc w:val="center"/>
              <w:rPr>
                <w:rFonts w:cs="Arial"/>
                <w:b/>
                <w:color w:val="FFFFFF" w:themeColor="background1"/>
                <w:sz w:val="20"/>
                <w:szCs w:val="20"/>
              </w:rPr>
            </w:pPr>
            <w:r w:rsidRPr="00EB6AE6">
              <w:rPr>
                <w:rFonts w:cs="Arial"/>
                <w:b/>
                <w:color w:val="FFFFFF" w:themeColor="background1"/>
                <w:sz w:val="20"/>
                <w:szCs w:val="20"/>
              </w:rPr>
              <w:t>Non-GM reference varieties</w:t>
            </w:r>
          </w:p>
        </w:tc>
        <w:tc>
          <w:tcPr>
            <w:tcW w:w="1647" w:type="dxa"/>
            <w:tcBorders>
              <w:top w:val="nil"/>
              <w:left w:val="nil"/>
              <w:bottom w:val="nil"/>
              <w:right w:val="nil"/>
            </w:tcBorders>
            <w:shd w:val="clear" w:color="auto" w:fill="7F7F7F" w:themeFill="text1" w:themeFillTint="80"/>
            <w:vAlign w:val="center"/>
          </w:tcPr>
          <w:p w14:paraId="7F8BF360" w14:textId="77777777" w:rsidR="00977222" w:rsidRPr="00EB6AE6" w:rsidRDefault="00977222" w:rsidP="006E49E2">
            <w:pPr>
              <w:jc w:val="center"/>
              <w:rPr>
                <w:rFonts w:cs="Arial"/>
                <w:b/>
                <w:color w:val="FFFFFF" w:themeColor="background1"/>
                <w:sz w:val="20"/>
                <w:szCs w:val="20"/>
              </w:rPr>
            </w:pPr>
            <w:r w:rsidRPr="00EB6AE6">
              <w:rPr>
                <w:rFonts w:cs="Arial"/>
                <w:b/>
                <w:color w:val="FFFFFF" w:themeColor="background1"/>
                <w:sz w:val="20"/>
                <w:szCs w:val="20"/>
              </w:rPr>
              <w:t>Tolerance Interval</w:t>
            </w:r>
          </w:p>
        </w:tc>
      </w:tr>
      <w:tr w:rsidR="00977222" w14:paraId="4C5DE92B" w14:textId="77777777" w:rsidTr="005D1D67">
        <w:trPr>
          <w:trHeight w:val="283"/>
          <w:tblHeader/>
        </w:trPr>
        <w:tc>
          <w:tcPr>
            <w:tcW w:w="1374" w:type="dxa"/>
            <w:vMerge/>
            <w:tcBorders>
              <w:top w:val="nil"/>
              <w:left w:val="nil"/>
              <w:bottom w:val="nil"/>
              <w:right w:val="nil"/>
            </w:tcBorders>
            <w:shd w:val="clear" w:color="auto" w:fill="7F7F7F" w:themeFill="text1" w:themeFillTint="80"/>
          </w:tcPr>
          <w:p w14:paraId="46994EA2" w14:textId="77777777" w:rsidR="00977222" w:rsidRPr="00EB6AE6" w:rsidRDefault="00977222" w:rsidP="006E49E2">
            <w:pPr>
              <w:rPr>
                <w:rFonts w:cs="Arial"/>
                <w:b/>
                <w:color w:val="FFFFFF" w:themeColor="background1"/>
                <w:sz w:val="20"/>
                <w:szCs w:val="20"/>
              </w:rPr>
            </w:pPr>
          </w:p>
        </w:tc>
        <w:tc>
          <w:tcPr>
            <w:tcW w:w="1412" w:type="dxa"/>
            <w:tcBorders>
              <w:top w:val="nil"/>
              <w:left w:val="nil"/>
              <w:bottom w:val="nil"/>
              <w:right w:val="nil"/>
            </w:tcBorders>
            <w:shd w:val="clear" w:color="auto" w:fill="7F7F7F" w:themeFill="text1" w:themeFillTint="80"/>
            <w:vAlign w:val="center"/>
          </w:tcPr>
          <w:p w14:paraId="026A7F9C" w14:textId="77777777" w:rsidR="00977222" w:rsidRPr="00EB6AE6" w:rsidRDefault="00977222" w:rsidP="006E49E2">
            <w:pPr>
              <w:jc w:val="center"/>
              <w:rPr>
                <w:rFonts w:cs="Arial"/>
                <w:b/>
                <w:color w:val="FFFFFF" w:themeColor="background1"/>
                <w:sz w:val="20"/>
                <w:szCs w:val="20"/>
              </w:rPr>
            </w:pPr>
            <w:r w:rsidRPr="00EB6AE6">
              <w:rPr>
                <w:rFonts w:cs="Arial"/>
                <w:b/>
                <w:color w:val="FFFFFF" w:themeColor="background1"/>
                <w:sz w:val="20"/>
                <w:szCs w:val="20"/>
              </w:rPr>
              <w:t>Mean ± SD</w:t>
            </w:r>
          </w:p>
        </w:tc>
        <w:tc>
          <w:tcPr>
            <w:tcW w:w="1413" w:type="dxa"/>
            <w:tcBorders>
              <w:top w:val="nil"/>
              <w:left w:val="nil"/>
              <w:bottom w:val="nil"/>
              <w:right w:val="nil"/>
            </w:tcBorders>
            <w:shd w:val="clear" w:color="auto" w:fill="7F7F7F" w:themeFill="text1" w:themeFillTint="80"/>
            <w:vAlign w:val="center"/>
          </w:tcPr>
          <w:p w14:paraId="4AAE4695" w14:textId="77777777" w:rsidR="00977222" w:rsidRPr="00EB6AE6" w:rsidRDefault="00977222" w:rsidP="006E49E2">
            <w:pPr>
              <w:jc w:val="center"/>
              <w:rPr>
                <w:rFonts w:cs="Arial"/>
                <w:b/>
                <w:color w:val="FFFFFF" w:themeColor="background1"/>
                <w:sz w:val="20"/>
                <w:szCs w:val="20"/>
              </w:rPr>
            </w:pPr>
            <w:r w:rsidRPr="00EB6AE6">
              <w:rPr>
                <w:rFonts w:cs="Arial"/>
                <w:b/>
                <w:color w:val="FFFFFF" w:themeColor="background1"/>
                <w:sz w:val="20"/>
                <w:szCs w:val="20"/>
              </w:rPr>
              <w:t>Mean ± SD</w:t>
            </w:r>
          </w:p>
        </w:tc>
        <w:tc>
          <w:tcPr>
            <w:tcW w:w="1413" w:type="dxa"/>
            <w:tcBorders>
              <w:top w:val="nil"/>
              <w:left w:val="nil"/>
              <w:bottom w:val="nil"/>
              <w:right w:val="nil"/>
            </w:tcBorders>
            <w:shd w:val="clear" w:color="auto" w:fill="7F7F7F" w:themeFill="text1" w:themeFillTint="80"/>
            <w:vAlign w:val="center"/>
          </w:tcPr>
          <w:p w14:paraId="1AD6A3D7" w14:textId="77777777" w:rsidR="00977222" w:rsidRPr="00EB6AE6" w:rsidRDefault="00977222" w:rsidP="006E49E2">
            <w:pPr>
              <w:jc w:val="center"/>
              <w:rPr>
                <w:rFonts w:cs="Arial"/>
                <w:b/>
                <w:color w:val="FFFFFF" w:themeColor="background1"/>
                <w:sz w:val="20"/>
                <w:szCs w:val="20"/>
              </w:rPr>
            </w:pPr>
            <w:r w:rsidRPr="00EB6AE6">
              <w:rPr>
                <w:rFonts w:cs="Arial"/>
                <w:b/>
                <w:color w:val="FFFFFF" w:themeColor="background1"/>
                <w:sz w:val="20"/>
                <w:szCs w:val="20"/>
              </w:rPr>
              <w:t>Mean ± SD</w:t>
            </w:r>
          </w:p>
        </w:tc>
        <w:tc>
          <w:tcPr>
            <w:tcW w:w="1801" w:type="dxa"/>
            <w:tcBorders>
              <w:top w:val="nil"/>
              <w:left w:val="nil"/>
              <w:bottom w:val="nil"/>
              <w:right w:val="nil"/>
            </w:tcBorders>
            <w:shd w:val="clear" w:color="auto" w:fill="7F7F7F" w:themeFill="text1" w:themeFillTint="80"/>
            <w:vAlign w:val="center"/>
          </w:tcPr>
          <w:p w14:paraId="37583431" w14:textId="77777777" w:rsidR="00977222" w:rsidRPr="00EB6AE6" w:rsidRDefault="00977222" w:rsidP="006E49E2">
            <w:pPr>
              <w:jc w:val="center"/>
              <w:rPr>
                <w:rFonts w:cs="Arial"/>
                <w:b/>
                <w:color w:val="FFFFFF" w:themeColor="background1"/>
                <w:sz w:val="20"/>
                <w:szCs w:val="20"/>
              </w:rPr>
            </w:pPr>
            <w:r w:rsidRPr="00EB6AE6">
              <w:rPr>
                <w:rFonts w:cs="Arial"/>
                <w:b/>
                <w:color w:val="FFFFFF" w:themeColor="background1"/>
                <w:sz w:val="20"/>
                <w:szCs w:val="20"/>
              </w:rPr>
              <w:t>Min-max</w:t>
            </w:r>
          </w:p>
        </w:tc>
        <w:tc>
          <w:tcPr>
            <w:tcW w:w="1647" w:type="dxa"/>
            <w:tcBorders>
              <w:top w:val="nil"/>
              <w:left w:val="nil"/>
              <w:bottom w:val="nil"/>
              <w:right w:val="nil"/>
            </w:tcBorders>
            <w:shd w:val="clear" w:color="auto" w:fill="7F7F7F" w:themeFill="text1" w:themeFillTint="80"/>
            <w:vAlign w:val="center"/>
          </w:tcPr>
          <w:p w14:paraId="4DD70169" w14:textId="77777777" w:rsidR="00977222" w:rsidRPr="00EB6AE6" w:rsidRDefault="00977222" w:rsidP="006E49E2">
            <w:pPr>
              <w:jc w:val="center"/>
              <w:rPr>
                <w:rFonts w:cs="Arial"/>
                <w:b/>
                <w:color w:val="FFFFFF" w:themeColor="background1"/>
                <w:sz w:val="20"/>
                <w:szCs w:val="20"/>
              </w:rPr>
            </w:pPr>
            <w:r w:rsidRPr="00EB6AE6">
              <w:rPr>
                <w:rFonts w:cs="Arial"/>
                <w:b/>
                <w:color w:val="FFFFFF" w:themeColor="background1"/>
                <w:sz w:val="20"/>
                <w:szCs w:val="20"/>
              </w:rPr>
              <w:t>lower-upper</w:t>
            </w:r>
          </w:p>
        </w:tc>
      </w:tr>
      <w:tr w:rsidR="00C277A5" w14:paraId="0FE7B35B" w14:textId="77777777" w:rsidTr="0076249A">
        <w:trPr>
          <w:trHeight w:val="340"/>
        </w:trPr>
        <w:tc>
          <w:tcPr>
            <w:tcW w:w="1374" w:type="dxa"/>
            <w:tcBorders>
              <w:top w:val="nil"/>
              <w:left w:val="nil"/>
              <w:bottom w:val="nil"/>
              <w:right w:val="nil"/>
            </w:tcBorders>
            <w:vAlign w:val="center"/>
          </w:tcPr>
          <w:p w14:paraId="49C6F029" w14:textId="7E66F5FE" w:rsidR="00C277A5" w:rsidRPr="00EB6AE6" w:rsidRDefault="00C277A5" w:rsidP="00C277A5">
            <w:pPr>
              <w:rPr>
                <w:sz w:val="20"/>
              </w:rPr>
            </w:pPr>
            <w:r w:rsidRPr="002017AB">
              <w:rPr>
                <w:sz w:val="20"/>
              </w:rPr>
              <w:t>Vitamin E</w:t>
            </w:r>
          </w:p>
        </w:tc>
        <w:tc>
          <w:tcPr>
            <w:tcW w:w="1412" w:type="dxa"/>
            <w:tcBorders>
              <w:top w:val="nil"/>
              <w:left w:val="nil"/>
              <w:bottom w:val="nil"/>
              <w:right w:val="nil"/>
            </w:tcBorders>
            <w:vAlign w:val="center"/>
          </w:tcPr>
          <w:p w14:paraId="6FF8310E" w14:textId="17D3A9AB" w:rsidR="00C277A5" w:rsidRPr="00C90A05" w:rsidRDefault="00C277A5" w:rsidP="00C277A5">
            <w:pPr>
              <w:jc w:val="center"/>
              <w:rPr>
                <w:rFonts w:cs="Arial"/>
                <w:color w:val="000000" w:themeColor="text1"/>
                <w:sz w:val="18"/>
                <w:szCs w:val="20"/>
              </w:rPr>
            </w:pPr>
            <w:r w:rsidRPr="00C90A05">
              <w:rPr>
                <w:rFonts w:cs="Arial"/>
                <w:sz w:val="18"/>
                <w:szCs w:val="20"/>
              </w:rPr>
              <w:t>27.6 ± 9.59</w:t>
            </w:r>
          </w:p>
        </w:tc>
        <w:tc>
          <w:tcPr>
            <w:tcW w:w="1413" w:type="dxa"/>
            <w:tcBorders>
              <w:top w:val="nil"/>
              <w:left w:val="nil"/>
              <w:bottom w:val="nil"/>
              <w:right w:val="nil"/>
            </w:tcBorders>
            <w:vAlign w:val="center"/>
          </w:tcPr>
          <w:p w14:paraId="1F7ECFF6" w14:textId="2B579659" w:rsidR="00C277A5" w:rsidRPr="00C90A05" w:rsidRDefault="00C277A5" w:rsidP="00C277A5">
            <w:pPr>
              <w:jc w:val="center"/>
              <w:rPr>
                <w:rFonts w:cs="Arial"/>
                <w:color w:val="000000" w:themeColor="text1"/>
                <w:sz w:val="18"/>
                <w:szCs w:val="20"/>
              </w:rPr>
            </w:pPr>
            <w:r w:rsidRPr="00C90A05">
              <w:rPr>
                <w:sz w:val="18"/>
              </w:rPr>
              <w:t>27.4 ± 9.67</w:t>
            </w:r>
          </w:p>
        </w:tc>
        <w:tc>
          <w:tcPr>
            <w:tcW w:w="1413" w:type="dxa"/>
            <w:tcBorders>
              <w:top w:val="nil"/>
              <w:left w:val="nil"/>
              <w:bottom w:val="nil"/>
              <w:right w:val="nil"/>
            </w:tcBorders>
            <w:vAlign w:val="center"/>
          </w:tcPr>
          <w:p w14:paraId="5EFCDD2B" w14:textId="40B76B08" w:rsidR="00C277A5" w:rsidRPr="00C90A05" w:rsidRDefault="00C277A5" w:rsidP="00C277A5">
            <w:pPr>
              <w:jc w:val="center"/>
              <w:rPr>
                <w:rFonts w:cs="Arial"/>
                <w:color w:val="000000" w:themeColor="text1"/>
                <w:sz w:val="18"/>
                <w:szCs w:val="20"/>
              </w:rPr>
            </w:pPr>
            <w:r w:rsidRPr="00C90A05">
              <w:rPr>
                <w:rFonts w:cs="Arial"/>
                <w:color w:val="000000" w:themeColor="text1"/>
                <w:sz w:val="18"/>
                <w:szCs w:val="20"/>
              </w:rPr>
              <w:t>28.1</w:t>
            </w:r>
            <w:r w:rsidRPr="00C90A05">
              <w:rPr>
                <w:sz w:val="18"/>
              </w:rPr>
              <w:t xml:space="preserve"> ± 9.36</w:t>
            </w:r>
          </w:p>
        </w:tc>
        <w:tc>
          <w:tcPr>
            <w:tcW w:w="1801" w:type="dxa"/>
            <w:tcBorders>
              <w:top w:val="nil"/>
              <w:left w:val="nil"/>
              <w:bottom w:val="nil"/>
              <w:right w:val="nil"/>
            </w:tcBorders>
            <w:vAlign w:val="center"/>
          </w:tcPr>
          <w:p w14:paraId="25BD9B6E" w14:textId="48E59F6B" w:rsidR="00C277A5" w:rsidRPr="00C90A05" w:rsidRDefault="00C277A5" w:rsidP="00C277A5">
            <w:pPr>
              <w:jc w:val="center"/>
              <w:rPr>
                <w:rFonts w:cs="Arial"/>
                <w:color w:val="000000" w:themeColor="text1"/>
                <w:sz w:val="18"/>
                <w:szCs w:val="20"/>
              </w:rPr>
            </w:pPr>
            <w:r w:rsidRPr="00C90A05">
              <w:rPr>
                <w:sz w:val="18"/>
              </w:rPr>
              <w:t>12.3 - 53.2</w:t>
            </w:r>
          </w:p>
        </w:tc>
        <w:tc>
          <w:tcPr>
            <w:tcW w:w="1647" w:type="dxa"/>
            <w:tcBorders>
              <w:top w:val="nil"/>
              <w:left w:val="nil"/>
              <w:bottom w:val="nil"/>
              <w:right w:val="nil"/>
            </w:tcBorders>
            <w:vAlign w:val="center"/>
          </w:tcPr>
          <w:p w14:paraId="76009882" w14:textId="3D1A95DE" w:rsidR="00C277A5" w:rsidRPr="00C90A05" w:rsidRDefault="00C277A5" w:rsidP="00C277A5">
            <w:pPr>
              <w:jc w:val="center"/>
              <w:rPr>
                <w:rFonts w:cs="Arial"/>
                <w:color w:val="000000" w:themeColor="text1"/>
                <w:sz w:val="18"/>
                <w:szCs w:val="20"/>
              </w:rPr>
            </w:pPr>
            <w:r w:rsidRPr="00C90A05">
              <w:rPr>
                <w:sz w:val="18"/>
              </w:rPr>
              <w:t>0 - 57.2</w:t>
            </w:r>
          </w:p>
        </w:tc>
      </w:tr>
      <w:tr w:rsidR="00C277A5" w14:paraId="429FAEED" w14:textId="77777777" w:rsidTr="0076249A">
        <w:trPr>
          <w:trHeight w:val="340"/>
        </w:trPr>
        <w:tc>
          <w:tcPr>
            <w:tcW w:w="1374" w:type="dxa"/>
            <w:tcBorders>
              <w:top w:val="nil"/>
              <w:left w:val="nil"/>
              <w:bottom w:val="nil"/>
              <w:right w:val="nil"/>
            </w:tcBorders>
            <w:shd w:val="clear" w:color="auto" w:fill="D9D9D9" w:themeFill="background1" w:themeFillShade="D9"/>
            <w:vAlign w:val="center"/>
          </w:tcPr>
          <w:p w14:paraId="230E47FB" w14:textId="2FFD1A18" w:rsidR="00C277A5" w:rsidRDefault="00EB6AE6" w:rsidP="00C277A5">
            <w:pPr>
              <w:rPr>
                <w:sz w:val="20"/>
              </w:rPr>
            </w:pPr>
            <w:r>
              <w:rPr>
                <w:sz w:val="20"/>
              </w:rPr>
              <w:t>Vitamin B1</w:t>
            </w:r>
          </w:p>
        </w:tc>
        <w:tc>
          <w:tcPr>
            <w:tcW w:w="1412" w:type="dxa"/>
            <w:tcBorders>
              <w:top w:val="nil"/>
              <w:left w:val="nil"/>
              <w:bottom w:val="nil"/>
              <w:right w:val="nil"/>
            </w:tcBorders>
            <w:shd w:val="clear" w:color="auto" w:fill="D9D9D9" w:themeFill="background1" w:themeFillShade="D9"/>
            <w:vAlign w:val="center"/>
          </w:tcPr>
          <w:p w14:paraId="75EC25C6" w14:textId="2E20BF0B" w:rsidR="00C277A5" w:rsidRPr="00C90A05" w:rsidRDefault="00C277A5" w:rsidP="00C277A5">
            <w:pPr>
              <w:jc w:val="center"/>
              <w:rPr>
                <w:rFonts w:cs="Arial"/>
                <w:color w:val="000000" w:themeColor="text1"/>
                <w:sz w:val="18"/>
                <w:szCs w:val="20"/>
              </w:rPr>
            </w:pPr>
            <w:r w:rsidRPr="00C90A05">
              <w:rPr>
                <w:rFonts w:cs="Arial"/>
                <w:sz w:val="18"/>
                <w:szCs w:val="20"/>
              </w:rPr>
              <w:t>1.80 ± 0.72</w:t>
            </w:r>
          </w:p>
        </w:tc>
        <w:tc>
          <w:tcPr>
            <w:tcW w:w="1413" w:type="dxa"/>
            <w:tcBorders>
              <w:top w:val="nil"/>
              <w:left w:val="nil"/>
              <w:bottom w:val="nil"/>
              <w:right w:val="nil"/>
            </w:tcBorders>
            <w:shd w:val="clear" w:color="auto" w:fill="D9D9D9" w:themeFill="background1" w:themeFillShade="D9"/>
            <w:vAlign w:val="center"/>
          </w:tcPr>
          <w:p w14:paraId="7F72029B" w14:textId="5A2FAE3F" w:rsidR="00C277A5" w:rsidRPr="00C90A05" w:rsidRDefault="00C277A5" w:rsidP="00C277A5">
            <w:pPr>
              <w:jc w:val="center"/>
              <w:rPr>
                <w:rFonts w:cs="Arial"/>
                <w:color w:val="000000" w:themeColor="text1"/>
                <w:sz w:val="18"/>
                <w:szCs w:val="20"/>
              </w:rPr>
            </w:pPr>
            <w:r w:rsidRPr="00C90A05">
              <w:rPr>
                <w:sz w:val="18"/>
              </w:rPr>
              <w:t>1.67 ± 0.75</w:t>
            </w:r>
          </w:p>
        </w:tc>
        <w:tc>
          <w:tcPr>
            <w:tcW w:w="1413" w:type="dxa"/>
            <w:tcBorders>
              <w:top w:val="nil"/>
              <w:left w:val="nil"/>
              <w:bottom w:val="nil"/>
              <w:right w:val="nil"/>
            </w:tcBorders>
            <w:shd w:val="clear" w:color="auto" w:fill="C6D9F1" w:themeFill="text2" w:themeFillTint="33"/>
            <w:vAlign w:val="center"/>
          </w:tcPr>
          <w:p w14:paraId="53DAE0E1" w14:textId="69837FF6" w:rsidR="00C277A5" w:rsidRPr="00C90A05" w:rsidRDefault="00C277A5" w:rsidP="00C277A5">
            <w:pPr>
              <w:jc w:val="center"/>
              <w:rPr>
                <w:rFonts w:cs="Arial"/>
                <w:color w:val="000000" w:themeColor="text1"/>
                <w:sz w:val="18"/>
                <w:szCs w:val="20"/>
              </w:rPr>
            </w:pPr>
            <w:r w:rsidRPr="00C90A05">
              <w:rPr>
                <w:sz w:val="18"/>
              </w:rPr>
              <w:t>1.46 ± 0.74</w:t>
            </w:r>
            <w:r w:rsidR="00C90A05" w:rsidRPr="00C90A05">
              <w:rPr>
                <w:sz w:val="18"/>
                <w:vertAlign w:val="superscript"/>
              </w:rPr>
              <w:t>1</w:t>
            </w:r>
          </w:p>
        </w:tc>
        <w:tc>
          <w:tcPr>
            <w:tcW w:w="1801" w:type="dxa"/>
            <w:tcBorders>
              <w:top w:val="nil"/>
              <w:left w:val="nil"/>
              <w:bottom w:val="nil"/>
              <w:right w:val="nil"/>
            </w:tcBorders>
            <w:shd w:val="clear" w:color="auto" w:fill="D9D9D9" w:themeFill="background1" w:themeFillShade="D9"/>
            <w:vAlign w:val="center"/>
          </w:tcPr>
          <w:p w14:paraId="0EF1F939" w14:textId="2C21B0F3" w:rsidR="00C277A5" w:rsidRPr="00C90A05" w:rsidRDefault="00C277A5" w:rsidP="00C277A5">
            <w:pPr>
              <w:jc w:val="center"/>
              <w:rPr>
                <w:rFonts w:cs="Arial"/>
                <w:color w:val="000000" w:themeColor="text1"/>
                <w:sz w:val="18"/>
                <w:szCs w:val="20"/>
              </w:rPr>
            </w:pPr>
            <w:r w:rsidRPr="00C90A05">
              <w:rPr>
                <w:sz w:val="18"/>
              </w:rPr>
              <w:t>0.41 - 2.54</w:t>
            </w:r>
          </w:p>
        </w:tc>
        <w:tc>
          <w:tcPr>
            <w:tcW w:w="1647" w:type="dxa"/>
            <w:tcBorders>
              <w:top w:val="nil"/>
              <w:left w:val="nil"/>
              <w:bottom w:val="nil"/>
              <w:right w:val="nil"/>
            </w:tcBorders>
            <w:shd w:val="clear" w:color="auto" w:fill="D9D9D9" w:themeFill="background1" w:themeFillShade="D9"/>
            <w:vAlign w:val="center"/>
          </w:tcPr>
          <w:p w14:paraId="73F2BF3E" w14:textId="7D3E5826" w:rsidR="00C277A5" w:rsidRPr="00C90A05" w:rsidRDefault="00C277A5" w:rsidP="00C277A5">
            <w:pPr>
              <w:jc w:val="center"/>
              <w:rPr>
                <w:rFonts w:cs="Arial"/>
                <w:color w:val="000000" w:themeColor="text1"/>
                <w:sz w:val="18"/>
                <w:szCs w:val="20"/>
              </w:rPr>
            </w:pPr>
            <w:r w:rsidRPr="00C90A05">
              <w:rPr>
                <w:sz w:val="18"/>
              </w:rPr>
              <w:t>0 - 2.93</w:t>
            </w:r>
          </w:p>
        </w:tc>
      </w:tr>
      <w:tr w:rsidR="00C277A5" w14:paraId="0AA23379" w14:textId="77777777" w:rsidTr="0076249A">
        <w:trPr>
          <w:trHeight w:val="340"/>
        </w:trPr>
        <w:tc>
          <w:tcPr>
            <w:tcW w:w="1374" w:type="dxa"/>
            <w:tcBorders>
              <w:top w:val="nil"/>
              <w:left w:val="nil"/>
              <w:bottom w:val="nil"/>
              <w:right w:val="nil"/>
            </w:tcBorders>
            <w:vAlign w:val="center"/>
          </w:tcPr>
          <w:p w14:paraId="43AD0443" w14:textId="0DBB9899" w:rsidR="00C277A5" w:rsidRDefault="00EB6AE6" w:rsidP="00C277A5">
            <w:pPr>
              <w:rPr>
                <w:sz w:val="20"/>
              </w:rPr>
            </w:pPr>
            <w:r>
              <w:rPr>
                <w:sz w:val="20"/>
              </w:rPr>
              <w:t>Vitamin B2</w:t>
            </w:r>
          </w:p>
        </w:tc>
        <w:tc>
          <w:tcPr>
            <w:tcW w:w="1412" w:type="dxa"/>
            <w:tcBorders>
              <w:top w:val="nil"/>
              <w:left w:val="nil"/>
              <w:bottom w:val="nil"/>
              <w:right w:val="nil"/>
            </w:tcBorders>
            <w:vAlign w:val="center"/>
          </w:tcPr>
          <w:p w14:paraId="5F8965E4" w14:textId="394DCC22" w:rsidR="00C277A5" w:rsidRPr="00C90A05" w:rsidRDefault="00C277A5" w:rsidP="00C277A5">
            <w:pPr>
              <w:jc w:val="center"/>
              <w:rPr>
                <w:rFonts w:cs="Arial"/>
                <w:color w:val="000000" w:themeColor="text1"/>
                <w:sz w:val="18"/>
                <w:szCs w:val="20"/>
              </w:rPr>
            </w:pPr>
            <w:r w:rsidRPr="00C90A05">
              <w:rPr>
                <w:rFonts w:cs="Arial"/>
                <w:sz w:val="18"/>
                <w:szCs w:val="20"/>
              </w:rPr>
              <w:t>4.44 ± 0.74</w:t>
            </w:r>
          </w:p>
        </w:tc>
        <w:tc>
          <w:tcPr>
            <w:tcW w:w="1413" w:type="dxa"/>
            <w:tcBorders>
              <w:top w:val="nil"/>
              <w:left w:val="nil"/>
              <w:bottom w:val="nil"/>
              <w:right w:val="nil"/>
            </w:tcBorders>
            <w:vAlign w:val="center"/>
          </w:tcPr>
          <w:p w14:paraId="3516B6B8" w14:textId="723C7F86" w:rsidR="00C277A5" w:rsidRPr="00C90A05" w:rsidRDefault="00C277A5" w:rsidP="00C277A5">
            <w:pPr>
              <w:jc w:val="center"/>
              <w:rPr>
                <w:rFonts w:cs="Arial"/>
                <w:color w:val="000000" w:themeColor="text1"/>
                <w:sz w:val="18"/>
                <w:szCs w:val="20"/>
              </w:rPr>
            </w:pPr>
            <w:r w:rsidRPr="00C90A05">
              <w:rPr>
                <w:sz w:val="18"/>
              </w:rPr>
              <w:t>4.51 ± 0.70</w:t>
            </w:r>
          </w:p>
        </w:tc>
        <w:tc>
          <w:tcPr>
            <w:tcW w:w="1413" w:type="dxa"/>
            <w:tcBorders>
              <w:top w:val="nil"/>
              <w:left w:val="nil"/>
              <w:bottom w:val="nil"/>
              <w:right w:val="nil"/>
            </w:tcBorders>
            <w:vAlign w:val="center"/>
          </w:tcPr>
          <w:p w14:paraId="436C70FC" w14:textId="7CB38423" w:rsidR="00C277A5" w:rsidRPr="00C90A05" w:rsidRDefault="00C277A5" w:rsidP="00C277A5">
            <w:pPr>
              <w:jc w:val="center"/>
              <w:rPr>
                <w:rFonts w:cs="Arial"/>
                <w:color w:val="000000" w:themeColor="text1"/>
                <w:sz w:val="18"/>
                <w:szCs w:val="20"/>
              </w:rPr>
            </w:pPr>
            <w:r w:rsidRPr="00C90A05">
              <w:rPr>
                <w:sz w:val="18"/>
              </w:rPr>
              <w:t>4.33 ± 0.88</w:t>
            </w:r>
          </w:p>
        </w:tc>
        <w:tc>
          <w:tcPr>
            <w:tcW w:w="1801" w:type="dxa"/>
            <w:tcBorders>
              <w:top w:val="nil"/>
              <w:left w:val="nil"/>
              <w:bottom w:val="nil"/>
              <w:right w:val="nil"/>
            </w:tcBorders>
            <w:vAlign w:val="center"/>
          </w:tcPr>
          <w:p w14:paraId="3237399B" w14:textId="238E3564" w:rsidR="00C277A5" w:rsidRPr="00C90A05" w:rsidRDefault="00C277A5" w:rsidP="00C277A5">
            <w:pPr>
              <w:jc w:val="center"/>
              <w:rPr>
                <w:rFonts w:cs="Arial"/>
                <w:color w:val="000000" w:themeColor="text1"/>
                <w:sz w:val="18"/>
                <w:szCs w:val="20"/>
              </w:rPr>
            </w:pPr>
            <w:r w:rsidRPr="00C90A05">
              <w:rPr>
                <w:sz w:val="18"/>
              </w:rPr>
              <w:t>2.26 - 5.92</w:t>
            </w:r>
          </w:p>
        </w:tc>
        <w:tc>
          <w:tcPr>
            <w:tcW w:w="1647" w:type="dxa"/>
            <w:tcBorders>
              <w:top w:val="nil"/>
              <w:left w:val="nil"/>
              <w:bottom w:val="nil"/>
              <w:right w:val="nil"/>
            </w:tcBorders>
            <w:vAlign w:val="center"/>
          </w:tcPr>
          <w:p w14:paraId="0BA9C2C8" w14:textId="12C67F06" w:rsidR="00C277A5" w:rsidRPr="00C90A05" w:rsidRDefault="00C277A5" w:rsidP="00C277A5">
            <w:pPr>
              <w:jc w:val="center"/>
              <w:rPr>
                <w:rFonts w:cs="Arial"/>
                <w:color w:val="000000" w:themeColor="text1"/>
                <w:sz w:val="18"/>
                <w:szCs w:val="20"/>
              </w:rPr>
            </w:pPr>
            <w:r w:rsidRPr="00C90A05">
              <w:rPr>
                <w:sz w:val="18"/>
              </w:rPr>
              <w:t>2.32 - 6.03</w:t>
            </w:r>
          </w:p>
        </w:tc>
      </w:tr>
      <w:tr w:rsidR="00C277A5" w14:paraId="5415AC90" w14:textId="77777777" w:rsidTr="0076249A">
        <w:trPr>
          <w:trHeight w:val="340"/>
        </w:trPr>
        <w:tc>
          <w:tcPr>
            <w:tcW w:w="1374" w:type="dxa"/>
            <w:tcBorders>
              <w:top w:val="nil"/>
              <w:left w:val="nil"/>
              <w:bottom w:val="nil"/>
              <w:right w:val="nil"/>
            </w:tcBorders>
            <w:shd w:val="clear" w:color="auto" w:fill="D9D9D9" w:themeFill="background1" w:themeFillShade="D9"/>
            <w:vAlign w:val="center"/>
          </w:tcPr>
          <w:p w14:paraId="2B53CEEA" w14:textId="264D4DC0" w:rsidR="00C277A5" w:rsidRDefault="00EB6AE6" w:rsidP="00C277A5">
            <w:pPr>
              <w:rPr>
                <w:sz w:val="20"/>
              </w:rPr>
            </w:pPr>
            <w:r>
              <w:rPr>
                <w:sz w:val="20"/>
              </w:rPr>
              <w:t>Vitamin B3</w:t>
            </w:r>
          </w:p>
        </w:tc>
        <w:tc>
          <w:tcPr>
            <w:tcW w:w="1412" w:type="dxa"/>
            <w:tcBorders>
              <w:top w:val="nil"/>
              <w:left w:val="nil"/>
              <w:bottom w:val="nil"/>
              <w:right w:val="nil"/>
            </w:tcBorders>
            <w:shd w:val="clear" w:color="auto" w:fill="D9D9D9" w:themeFill="background1" w:themeFillShade="D9"/>
            <w:vAlign w:val="center"/>
          </w:tcPr>
          <w:p w14:paraId="49359EAE" w14:textId="13827CF2" w:rsidR="00C277A5" w:rsidRPr="00C90A05" w:rsidRDefault="00C277A5" w:rsidP="00C277A5">
            <w:pPr>
              <w:jc w:val="center"/>
              <w:rPr>
                <w:rFonts w:cs="Arial"/>
                <w:sz w:val="18"/>
                <w:szCs w:val="20"/>
              </w:rPr>
            </w:pPr>
            <w:r w:rsidRPr="00C90A05">
              <w:rPr>
                <w:rFonts w:cs="Arial"/>
                <w:sz w:val="18"/>
                <w:szCs w:val="20"/>
              </w:rPr>
              <w:t>26.7 ± 6.57</w:t>
            </w:r>
          </w:p>
        </w:tc>
        <w:tc>
          <w:tcPr>
            <w:tcW w:w="1413" w:type="dxa"/>
            <w:tcBorders>
              <w:top w:val="nil"/>
              <w:left w:val="nil"/>
              <w:bottom w:val="nil"/>
              <w:right w:val="nil"/>
            </w:tcBorders>
            <w:shd w:val="clear" w:color="auto" w:fill="D9D9D9" w:themeFill="background1" w:themeFillShade="D9"/>
            <w:vAlign w:val="center"/>
          </w:tcPr>
          <w:p w14:paraId="2915517A" w14:textId="100011B4" w:rsidR="00C277A5" w:rsidRPr="00C90A05" w:rsidRDefault="00C277A5" w:rsidP="00C277A5">
            <w:pPr>
              <w:jc w:val="center"/>
              <w:rPr>
                <w:sz w:val="18"/>
              </w:rPr>
            </w:pPr>
            <w:r w:rsidRPr="00C90A05">
              <w:rPr>
                <w:sz w:val="18"/>
              </w:rPr>
              <w:t>29.2 ± 6.34</w:t>
            </w:r>
          </w:p>
        </w:tc>
        <w:tc>
          <w:tcPr>
            <w:tcW w:w="1413" w:type="dxa"/>
            <w:tcBorders>
              <w:top w:val="nil"/>
              <w:left w:val="nil"/>
              <w:bottom w:val="nil"/>
              <w:right w:val="nil"/>
            </w:tcBorders>
            <w:shd w:val="clear" w:color="auto" w:fill="D9D9D9" w:themeFill="background1" w:themeFillShade="D9"/>
            <w:vAlign w:val="center"/>
          </w:tcPr>
          <w:p w14:paraId="31E38E1D" w14:textId="1C4E6FAA" w:rsidR="00C277A5" w:rsidRPr="00C90A05" w:rsidRDefault="00C277A5" w:rsidP="00C277A5">
            <w:pPr>
              <w:jc w:val="center"/>
              <w:rPr>
                <w:sz w:val="18"/>
              </w:rPr>
            </w:pPr>
            <w:r w:rsidRPr="00C90A05">
              <w:rPr>
                <w:sz w:val="18"/>
              </w:rPr>
              <w:t>29.3 ± 6.58</w:t>
            </w:r>
          </w:p>
        </w:tc>
        <w:tc>
          <w:tcPr>
            <w:tcW w:w="1801" w:type="dxa"/>
            <w:tcBorders>
              <w:top w:val="nil"/>
              <w:left w:val="nil"/>
              <w:bottom w:val="nil"/>
              <w:right w:val="nil"/>
            </w:tcBorders>
            <w:shd w:val="clear" w:color="auto" w:fill="D9D9D9" w:themeFill="background1" w:themeFillShade="D9"/>
            <w:vAlign w:val="center"/>
          </w:tcPr>
          <w:p w14:paraId="01CFAB62" w14:textId="21A31260" w:rsidR="00C277A5" w:rsidRPr="00C90A05" w:rsidRDefault="00C277A5" w:rsidP="00C277A5">
            <w:pPr>
              <w:jc w:val="center"/>
              <w:rPr>
                <w:rFonts w:cs="Arial"/>
                <w:color w:val="000000" w:themeColor="text1"/>
                <w:sz w:val="18"/>
                <w:szCs w:val="20"/>
              </w:rPr>
            </w:pPr>
            <w:r w:rsidRPr="00C90A05">
              <w:rPr>
                <w:sz w:val="18"/>
              </w:rPr>
              <w:t>13.7 - 46.9</w:t>
            </w:r>
          </w:p>
        </w:tc>
        <w:tc>
          <w:tcPr>
            <w:tcW w:w="1647" w:type="dxa"/>
            <w:tcBorders>
              <w:top w:val="nil"/>
              <w:left w:val="nil"/>
              <w:bottom w:val="nil"/>
              <w:right w:val="nil"/>
            </w:tcBorders>
            <w:shd w:val="clear" w:color="auto" w:fill="D9D9D9" w:themeFill="background1" w:themeFillShade="D9"/>
            <w:vAlign w:val="center"/>
          </w:tcPr>
          <w:p w14:paraId="16EE6E99" w14:textId="77C93094" w:rsidR="00C277A5" w:rsidRPr="00C90A05" w:rsidRDefault="00C277A5" w:rsidP="00C277A5">
            <w:pPr>
              <w:jc w:val="center"/>
              <w:rPr>
                <w:rFonts w:cs="Arial"/>
                <w:color w:val="000000" w:themeColor="text1"/>
                <w:sz w:val="18"/>
                <w:szCs w:val="20"/>
              </w:rPr>
            </w:pPr>
            <w:r w:rsidRPr="00C90A05">
              <w:rPr>
                <w:sz w:val="18"/>
              </w:rPr>
              <w:t>5.7 - 47.0</w:t>
            </w:r>
          </w:p>
        </w:tc>
      </w:tr>
      <w:tr w:rsidR="00C277A5" w14:paraId="316A871D" w14:textId="77777777" w:rsidTr="0076249A">
        <w:trPr>
          <w:trHeight w:val="340"/>
        </w:trPr>
        <w:tc>
          <w:tcPr>
            <w:tcW w:w="1374" w:type="dxa"/>
            <w:tcBorders>
              <w:top w:val="nil"/>
              <w:left w:val="nil"/>
              <w:bottom w:val="nil"/>
              <w:right w:val="nil"/>
            </w:tcBorders>
            <w:vAlign w:val="center"/>
          </w:tcPr>
          <w:p w14:paraId="56C5CD43" w14:textId="4E124B93" w:rsidR="00C277A5" w:rsidRDefault="00C277A5" w:rsidP="00C277A5">
            <w:pPr>
              <w:rPr>
                <w:sz w:val="20"/>
              </w:rPr>
            </w:pPr>
            <w:r>
              <w:rPr>
                <w:sz w:val="20"/>
              </w:rPr>
              <w:t>Vitamin B5</w:t>
            </w:r>
          </w:p>
        </w:tc>
        <w:tc>
          <w:tcPr>
            <w:tcW w:w="1412" w:type="dxa"/>
            <w:tcBorders>
              <w:top w:val="nil"/>
              <w:left w:val="nil"/>
              <w:bottom w:val="nil"/>
              <w:right w:val="nil"/>
            </w:tcBorders>
            <w:vAlign w:val="center"/>
          </w:tcPr>
          <w:p w14:paraId="7D606E69" w14:textId="04A66C4B" w:rsidR="00C277A5" w:rsidRPr="00C90A05" w:rsidRDefault="00C277A5" w:rsidP="00C277A5">
            <w:pPr>
              <w:jc w:val="center"/>
              <w:rPr>
                <w:rFonts w:cs="Arial"/>
                <w:color w:val="000000" w:themeColor="text1"/>
                <w:sz w:val="18"/>
                <w:szCs w:val="20"/>
              </w:rPr>
            </w:pPr>
            <w:r w:rsidRPr="00C90A05">
              <w:rPr>
                <w:rFonts w:cs="Arial"/>
                <w:sz w:val="18"/>
                <w:szCs w:val="20"/>
              </w:rPr>
              <w:t>8.64 ± 1.76</w:t>
            </w:r>
          </w:p>
        </w:tc>
        <w:tc>
          <w:tcPr>
            <w:tcW w:w="1413" w:type="dxa"/>
            <w:tcBorders>
              <w:top w:val="nil"/>
              <w:left w:val="nil"/>
              <w:bottom w:val="nil"/>
              <w:right w:val="nil"/>
            </w:tcBorders>
            <w:vAlign w:val="center"/>
          </w:tcPr>
          <w:p w14:paraId="7778A1A3" w14:textId="7F9524A0" w:rsidR="00C277A5" w:rsidRPr="00C90A05" w:rsidRDefault="00C277A5" w:rsidP="00C277A5">
            <w:pPr>
              <w:jc w:val="center"/>
              <w:rPr>
                <w:rFonts w:cs="Arial"/>
                <w:color w:val="000000" w:themeColor="text1"/>
                <w:sz w:val="18"/>
                <w:szCs w:val="20"/>
              </w:rPr>
            </w:pPr>
            <w:r w:rsidRPr="00C90A05">
              <w:rPr>
                <w:sz w:val="18"/>
              </w:rPr>
              <w:t>9.27 ± 2.23</w:t>
            </w:r>
          </w:p>
        </w:tc>
        <w:tc>
          <w:tcPr>
            <w:tcW w:w="1413" w:type="dxa"/>
            <w:tcBorders>
              <w:top w:val="nil"/>
              <w:left w:val="nil"/>
              <w:bottom w:val="nil"/>
              <w:right w:val="nil"/>
            </w:tcBorders>
            <w:shd w:val="clear" w:color="auto" w:fill="C6D9F1" w:themeFill="text2" w:themeFillTint="33"/>
            <w:vAlign w:val="center"/>
          </w:tcPr>
          <w:p w14:paraId="69DDCED7" w14:textId="0AED74E8" w:rsidR="00C277A5" w:rsidRPr="00C90A05" w:rsidRDefault="00C277A5" w:rsidP="00C277A5">
            <w:pPr>
              <w:jc w:val="center"/>
              <w:rPr>
                <w:rFonts w:cs="Arial"/>
                <w:color w:val="000000" w:themeColor="text1"/>
                <w:sz w:val="18"/>
                <w:szCs w:val="20"/>
              </w:rPr>
            </w:pPr>
            <w:r w:rsidRPr="00C90A05">
              <w:rPr>
                <w:sz w:val="18"/>
              </w:rPr>
              <w:t>9.50 ± 2.22</w:t>
            </w:r>
          </w:p>
        </w:tc>
        <w:tc>
          <w:tcPr>
            <w:tcW w:w="1801" w:type="dxa"/>
            <w:tcBorders>
              <w:top w:val="nil"/>
              <w:left w:val="nil"/>
              <w:bottom w:val="nil"/>
              <w:right w:val="nil"/>
            </w:tcBorders>
            <w:vAlign w:val="center"/>
          </w:tcPr>
          <w:p w14:paraId="7D550C35" w14:textId="0804A693" w:rsidR="00C277A5" w:rsidRPr="00C90A05" w:rsidRDefault="00C277A5" w:rsidP="00C277A5">
            <w:pPr>
              <w:jc w:val="center"/>
              <w:rPr>
                <w:rFonts w:cs="Arial"/>
                <w:color w:val="000000" w:themeColor="text1"/>
                <w:sz w:val="18"/>
                <w:szCs w:val="20"/>
              </w:rPr>
            </w:pPr>
            <w:r w:rsidRPr="00C90A05">
              <w:rPr>
                <w:sz w:val="18"/>
              </w:rPr>
              <w:t>5.42 - 14.60</w:t>
            </w:r>
          </w:p>
        </w:tc>
        <w:tc>
          <w:tcPr>
            <w:tcW w:w="1647" w:type="dxa"/>
            <w:tcBorders>
              <w:top w:val="nil"/>
              <w:left w:val="nil"/>
              <w:bottom w:val="nil"/>
              <w:right w:val="nil"/>
            </w:tcBorders>
            <w:vAlign w:val="center"/>
          </w:tcPr>
          <w:p w14:paraId="42C241FE" w14:textId="5443B661" w:rsidR="00C277A5" w:rsidRPr="00C90A05" w:rsidRDefault="00C277A5" w:rsidP="00C277A5">
            <w:pPr>
              <w:jc w:val="center"/>
              <w:rPr>
                <w:rFonts w:cs="Arial"/>
                <w:color w:val="000000" w:themeColor="text1"/>
                <w:sz w:val="18"/>
                <w:szCs w:val="20"/>
              </w:rPr>
            </w:pPr>
            <w:r w:rsidRPr="00C90A05">
              <w:rPr>
                <w:sz w:val="18"/>
              </w:rPr>
              <w:t>4.01 - 16.05</w:t>
            </w:r>
          </w:p>
        </w:tc>
      </w:tr>
      <w:tr w:rsidR="00C277A5" w14:paraId="0E1272D0" w14:textId="77777777" w:rsidTr="0076249A">
        <w:trPr>
          <w:trHeight w:val="340"/>
        </w:trPr>
        <w:tc>
          <w:tcPr>
            <w:tcW w:w="1374" w:type="dxa"/>
            <w:tcBorders>
              <w:top w:val="nil"/>
              <w:left w:val="nil"/>
              <w:bottom w:val="nil"/>
              <w:right w:val="nil"/>
            </w:tcBorders>
            <w:shd w:val="clear" w:color="auto" w:fill="D9D9D9" w:themeFill="background1" w:themeFillShade="D9"/>
            <w:vAlign w:val="center"/>
          </w:tcPr>
          <w:p w14:paraId="74DE6121" w14:textId="0F917E5F" w:rsidR="00C277A5" w:rsidRDefault="00C277A5" w:rsidP="00C277A5">
            <w:pPr>
              <w:rPr>
                <w:sz w:val="20"/>
              </w:rPr>
            </w:pPr>
            <w:r>
              <w:rPr>
                <w:sz w:val="20"/>
              </w:rPr>
              <w:t>Vitamin</w:t>
            </w:r>
            <w:r w:rsidR="00EB6AE6">
              <w:rPr>
                <w:sz w:val="20"/>
              </w:rPr>
              <w:t xml:space="preserve"> B6</w:t>
            </w:r>
          </w:p>
        </w:tc>
        <w:tc>
          <w:tcPr>
            <w:tcW w:w="1412" w:type="dxa"/>
            <w:tcBorders>
              <w:top w:val="nil"/>
              <w:left w:val="nil"/>
              <w:bottom w:val="nil"/>
              <w:right w:val="nil"/>
            </w:tcBorders>
            <w:shd w:val="clear" w:color="auto" w:fill="D9D9D9" w:themeFill="background1" w:themeFillShade="D9"/>
            <w:vAlign w:val="center"/>
          </w:tcPr>
          <w:p w14:paraId="12413257" w14:textId="6A232DAE" w:rsidR="00C277A5" w:rsidRPr="00C90A05" w:rsidRDefault="00C277A5" w:rsidP="00C277A5">
            <w:pPr>
              <w:jc w:val="center"/>
              <w:rPr>
                <w:rFonts w:cs="Arial"/>
                <w:color w:val="000000" w:themeColor="text1"/>
                <w:sz w:val="18"/>
                <w:szCs w:val="20"/>
              </w:rPr>
            </w:pPr>
            <w:r w:rsidRPr="00C90A05">
              <w:rPr>
                <w:rFonts w:cs="Arial"/>
                <w:sz w:val="18"/>
                <w:szCs w:val="20"/>
              </w:rPr>
              <w:t>4.59 ± 1.18</w:t>
            </w:r>
          </w:p>
        </w:tc>
        <w:tc>
          <w:tcPr>
            <w:tcW w:w="1413" w:type="dxa"/>
            <w:tcBorders>
              <w:top w:val="nil"/>
              <w:left w:val="nil"/>
              <w:bottom w:val="nil"/>
              <w:right w:val="nil"/>
            </w:tcBorders>
            <w:shd w:val="clear" w:color="auto" w:fill="D9D9D9" w:themeFill="background1" w:themeFillShade="D9"/>
            <w:vAlign w:val="center"/>
          </w:tcPr>
          <w:p w14:paraId="6A34F71D" w14:textId="629C4D64" w:rsidR="00C277A5" w:rsidRPr="00C90A05" w:rsidRDefault="00C277A5" w:rsidP="00C277A5">
            <w:pPr>
              <w:jc w:val="center"/>
              <w:rPr>
                <w:rFonts w:cs="Arial"/>
                <w:color w:val="000000" w:themeColor="text1"/>
                <w:sz w:val="18"/>
                <w:szCs w:val="20"/>
              </w:rPr>
            </w:pPr>
            <w:r w:rsidRPr="00C90A05">
              <w:rPr>
                <w:sz w:val="18"/>
              </w:rPr>
              <w:t>4.63 ± 1.13</w:t>
            </w:r>
          </w:p>
        </w:tc>
        <w:tc>
          <w:tcPr>
            <w:tcW w:w="1413" w:type="dxa"/>
            <w:tcBorders>
              <w:top w:val="nil"/>
              <w:left w:val="nil"/>
              <w:bottom w:val="nil"/>
              <w:right w:val="nil"/>
            </w:tcBorders>
            <w:shd w:val="clear" w:color="auto" w:fill="D9D9D9" w:themeFill="background1" w:themeFillShade="D9"/>
            <w:vAlign w:val="center"/>
          </w:tcPr>
          <w:p w14:paraId="0CF906A1" w14:textId="52AA9B62" w:rsidR="00C277A5" w:rsidRPr="00C90A05" w:rsidRDefault="00C277A5" w:rsidP="00C277A5">
            <w:pPr>
              <w:jc w:val="center"/>
              <w:rPr>
                <w:rFonts w:cs="Arial"/>
                <w:color w:val="000000" w:themeColor="text1"/>
                <w:sz w:val="18"/>
                <w:szCs w:val="20"/>
              </w:rPr>
            </w:pPr>
            <w:r w:rsidRPr="00C90A05">
              <w:rPr>
                <w:sz w:val="18"/>
              </w:rPr>
              <w:t>4.81 ± 1.20</w:t>
            </w:r>
          </w:p>
        </w:tc>
        <w:tc>
          <w:tcPr>
            <w:tcW w:w="1801" w:type="dxa"/>
            <w:tcBorders>
              <w:top w:val="nil"/>
              <w:left w:val="nil"/>
              <w:bottom w:val="nil"/>
              <w:right w:val="nil"/>
            </w:tcBorders>
            <w:shd w:val="clear" w:color="auto" w:fill="D9D9D9" w:themeFill="background1" w:themeFillShade="D9"/>
            <w:vAlign w:val="center"/>
          </w:tcPr>
          <w:p w14:paraId="488001F7" w14:textId="357703A2" w:rsidR="00C277A5" w:rsidRPr="00C90A05" w:rsidRDefault="00C277A5" w:rsidP="00C277A5">
            <w:pPr>
              <w:jc w:val="center"/>
              <w:rPr>
                <w:rFonts w:cs="Arial"/>
                <w:color w:val="000000" w:themeColor="text1"/>
                <w:sz w:val="18"/>
                <w:szCs w:val="20"/>
              </w:rPr>
            </w:pPr>
            <w:r w:rsidRPr="00C90A05">
              <w:rPr>
                <w:sz w:val="18"/>
              </w:rPr>
              <w:t>2.12 - 7.69</w:t>
            </w:r>
          </w:p>
        </w:tc>
        <w:tc>
          <w:tcPr>
            <w:tcW w:w="1647" w:type="dxa"/>
            <w:tcBorders>
              <w:top w:val="nil"/>
              <w:left w:val="nil"/>
              <w:bottom w:val="nil"/>
              <w:right w:val="nil"/>
            </w:tcBorders>
            <w:shd w:val="clear" w:color="auto" w:fill="D9D9D9" w:themeFill="background1" w:themeFillShade="D9"/>
            <w:vAlign w:val="center"/>
          </w:tcPr>
          <w:p w14:paraId="71D83266" w14:textId="1F74A068" w:rsidR="00C277A5" w:rsidRPr="00C90A05" w:rsidRDefault="00C277A5" w:rsidP="00C277A5">
            <w:pPr>
              <w:jc w:val="center"/>
              <w:rPr>
                <w:rFonts w:cs="Arial"/>
                <w:color w:val="000000" w:themeColor="text1"/>
                <w:sz w:val="18"/>
                <w:szCs w:val="20"/>
              </w:rPr>
            </w:pPr>
            <w:r w:rsidRPr="00C90A05">
              <w:rPr>
                <w:sz w:val="18"/>
              </w:rPr>
              <w:t>0.85 - 8.43</w:t>
            </w:r>
          </w:p>
        </w:tc>
      </w:tr>
      <w:tr w:rsidR="00C277A5" w14:paraId="5B8A04BD" w14:textId="77777777" w:rsidTr="0076249A">
        <w:trPr>
          <w:trHeight w:val="340"/>
        </w:trPr>
        <w:tc>
          <w:tcPr>
            <w:tcW w:w="1374" w:type="dxa"/>
            <w:tcBorders>
              <w:top w:val="nil"/>
              <w:left w:val="nil"/>
              <w:bottom w:val="nil"/>
              <w:right w:val="nil"/>
            </w:tcBorders>
            <w:vAlign w:val="center"/>
          </w:tcPr>
          <w:p w14:paraId="4C9862ED" w14:textId="1F5BBF0E" w:rsidR="00C277A5" w:rsidRDefault="00C277A5" w:rsidP="00C277A5">
            <w:pPr>
              <w:rPr>
                <w:sz w:val="20"/>
              </w:rPr>
            </w:pPr>
            <w:r>
              <w:rPr>
                <w:sz w:val="20"/>
              </w:rPr>
              <w:t>Vitamin</w:t>
            </w:r>
            <w:r w:rsidR="00EB6AE6">
              <w:rPr>
                <w:sz w:val="20"/>
              </w:rPr>
              <w:t xml:space="preserve"> B9</w:t>
            </w:r>
          </w:p>
        </w:tc>
        <w:tc>
          <w:tcPr>
            <w:tcW w:w="1412" w:type="dxa"/>
            <w:tcBorders>
              <w:top w:val="nil"/>
              <w:left w:val="nil"/>
              <w:bottom w:val="nil"/>
              <w:right w:val="nil"/>
            </w:tcBorders>
            <w:vAlign w:val="center"/>
          </w:tcPr>
          <w:p w14:paraId="0D18043A" w14:textId="2151E5B9" w:rsidR="00C277A5" w:rsidRPr="00C90A05" w:rsidRDefault="00C277A5" w:rsidP="00C277A5">
            <w:pPr>
              <w:jc w:val="center"/>
              <w:rPr>
                <w:rFonts w:cs="Arial"/>
                <w:color w:val="000000" w:themeColor="text1"/>
                <w:sz w:val="18"/>
                <w:szCs w:val="20"/>
              </w:rPr>
            </w:pPr>
            <w:r w:rsidRPr="00C90A05">
              <w:rPr>
                <w:rFonts w:cs="Arial"/>
                <w:sz w:val="18"/>
                <w:szCs w:val="20"/>
              </w:rPr>
              <w:t>5.50 ± 1.64</w:t>
            </w:r>
          </w:p>
        </w:tc>
        <w:tc>
          <w:tcPr>
            <w:tcW w:w="1413" w:type="dxa"/>
            <w:tcBorders>
              <w:top w:val="nil"/>
              <w:left w:val="nil"/>
              <w:bottom w:val="nil"/>
              <w:right w:val="nil"/>
            </w:tcBorders>
            <w:vAlign w:val="center"/>
          </w:tcPr>
          <w:p w14:paraId="6D66EEA6" w14:textId="5DE6AF5D" w:rsidR="00C277A5" w:rsidRPr="00C90A05" w:rsidRDefault="00C277A5" w:rsidP="00C277A5">
            <w:pPr>
              <w:jc w:val="center"/>
              <w:rPr>
                <w:rFonts w:cs="Arial"/>
                <w:color w:val="000000" w:themeColor="text1"/>
                <w:sz w:val="18"/>
                <w:szCs w:val="20"/>
              </w:rPr>
            </w:pPr>
            <w:r w:rsidRPr="00C90A05">
              <w:rPr>
                <w:sz w:val="18"/>
              </w:rPr>
              <w:t>6.43 ± 2.02</w:t>
            </w:r>
          </w:p>
        </w:tc>
        <w:tc>
          <w:tcPr>
            <w:tcW w:w="1413" w:type="dxa"/>
            <w:tcBorders>
              <w:top w:val="nil"/>
              <w:left w:val="nil"/>
              <w:bottom w:val="nil"/>
              <w:right w:val="nil"/>
            </w:tcBorders>
            <w:shd w:val="clear" w:color="auto" w:fill="C6D9F1" w:themeFill="text2" w:themeFillTint="33"/>
            <w:vAlign w:val="center"/>
          </w:tcPr>
          <w:p w14:paraId="20DE3E62" w14:textId="7617D3CB" w:rsidR="00C277A5" w:rsidRPr="00C90A05" w:rsidRDefault="00C277A5" w:rsidP="00C277A5">
            <w:pPr>
              <w:jc w:val="center"/>
              <w:rPr>
                <w:rFonts w:cs="Arial"/>
                <w:color w:val="000000" w:themeColor="text1"/>
                <w:sz w:val="18"/>
                <w:szCs w:val="20"/>
              </w:rPr>
            </w:pPr>
            <w:r w:rsidRPr="00C90A05">
              <w:rPr>
                <w:sz w:val="18"/>
              </w:rPr>
              <w:t>6.77 ± 2.50</w:t>
            </w:r>
          </w:p>
        </w:tc>
        <w:tc>
          <w:tcPr>
            <w:tcW w:w="1801" w:type="dxa"/>
            <w:tcBorders>
              <w:top w:val="nil"/>
              <w:left w:val="nil"/>
              <w:bottom w:val="nil"/>
              <w:right w:val="nil"/>
            </w:tcBorders>
            <w:vAlign w:val="center"/>
          </w:tcPr>
          <w:p w14:paraId="090BF49F" w14:textId="31D33A77" w:rsidR="00C277A5" w:rsidRPr="00C90A05" w:rsidRDefault="00C277A5" w:rsidP="00C277A5">
            <w:pPr>
              <w:jc w:val="center"/>
              <w:rPr>
                <w:rFonts w:cs="Arial"/>
                <w:color w:val="000000" w:themeColor="text1"/>
                <w:sz w:val="18"/>
                <w:szCs w:val="20"/>
              </w:rPr>
            </w:pPr>
            <w:r w:rsidRPr="00C90A05">
              <w:rPr>
                <w:sz w:val="18"/>
              </w:rPr>
              <w:t>2.19 - 13.30</w:t>
            </w:r>
          </w:p>
        </w:tc>
        <w:tc>
          <w:tcPr>
            <w:tcW w:w="1647" w:type="dxa"/>
            <w:tcBorders>
              <w:top w:val="nil"/>
              <w:left w:val="nil"/>
              <w:bottom w:val="nil"/>
              <w:right w:val="nil"/>
            </w:tcBorders>
            <w:vAlign w:val="center"/>
          </w:tcPr>
          <w:p w14:paraId="2AB42206" w14:textId="347B91A3" w:rsidR="00C277A5" w:rsidRPr="00C90A05" w:rsidRDefault="00C277A5" w:rsidP="00C277A5">
            <w:pPr>
              <w:jc w:val="center"/>
              <w:rPr>
                <w:rFonts w:cs="Arial"/>
                <w:color w:val="000000" w:themeColor="text1"/>
                <w:sz w:val="18"/>
                <w:szCs w:val="20"/>
              </w:rPr>
            </w:pPr>
            <w:r w:rsidRPr="00C90A05">
              <w:rPr>
                <w:sz w:val="18"/>
              </w:rPr>
              <w:t>0 - 12.57</w:t>
            </w:r>
          </w:p>
        </w:tc>
      </w:tr>
      <w:tr w:rsidR="00C277A5" w14:paraId="35462D89" w14:textId="77777777" w:rsidTr="0076249A">
        <w:trPr>
          <w:trHeight w:val="340"/>
        </w:trPr>
        <w:tc>
          <w:tcPr>
            <w:tcW w:w="1374" w:type="dxa"/>
            <w:tcBorders>
              <w:top w:val="nil"/>
              <w:left w:val="nil"/>
              <w:bottom w:val="nil"/>
              <w:right w:val="nil"/>
            </w:tcBorders>
            <w:shd w:val="clear" w:color="auto" w:fill="D9D9D9" w:themeFill="background1" w:themeFillShade="D9"/>
            <w:vAlign w:val="center"/>
          </w:tcPr>
          <w:p w14:paraId="5C6B4243" w14:textId="51F80F9B" w:rsidR="00C277A5" w:rsidRDefault="00C277A5" w:rsidP="00C277A5">
            <w:pPr>
              <w:rPr>
                <w:sz w:val="20"/>
              </w:rPr>
            </w:pPr>
            <w:r>
              <w:rPr>
                <w:sz w:val="20"/>
              </w:rPr>
              <w:t>Vitamin K1</w:t>
            </w:r>
          </w:p>
        </w:tc>
        <w:tc>
          <w:tcPr>
            <w:tcW w:w="1412" w:type="dxa"/>
            <w:tcBorders>
              <w:top w:val="nil"/>
              <w:left w:val="nil"/>
              <w:bottom w:val="nil"/>
              <w:right w:val="nil"/>
            </w:tcBorders>
            <w:shd w:val="clear" w:color="auto" w:fill="D9D9D9" w:themeFill="background1" w:themeFillShade="D9"/>
            <w:vAlign w:val="center"/>
          </w:tcPr>
          <w:p w14:paraId="19D9DFD4" w14:textId="6990D740" w:rsidR="00C277A5" w:rsidRPr="00C90A05" w:rsidRDefault="00C277A5" w:rsidP="00C277A5">
            <w:pPr>
              <w:jc w:val="center"/>
              <w:rPr>
                <w:rFonts w:cs="Arial"/>
                <w:color w:val="000000" w:themeColor="text1"/>
                <w:sz w:val="18"/>
                <w:szCs w:val="20"/>
              </w:rPr>
            </w:pPr>
            <w:r w:rsidRPr="00C90A05">
              <w:rPr>
                <w:rFonts w:cs="Arial"/>
                <w:color w:val="000000" w:themeColor="text1"/>
                <w:sz w:val="18"/>
                <w:szCs w:val="20"/>
              </w:rPr>
              <w:t xml:space="preserve">0.703 </w:t>
            </w:r>
            <w:r w:rsidRPr="00C90A05">
              <w:rPr>
                <w:sz w:val="18"/>
              </w:rPr>
              <w:t>± 0.330</w:t>
            </w:r>
          </w:p>
        </w:tc>
        <w:tc>
          <w:tcPr>
            <w:tcW w:w="1413" w:type="dxa"/>
            <w:tcBorders>
              <w:top w:val="nil"/>
              <w:left w:val="nil"/>
              <w:bottom w:val="nil"/>
              <w:right w:val="nil"/>
            </w:tcBorders>
            <w:shd w:val="clear" w:color="auto" w:fill="D9D9D9" w:themeFill="background1" w:themeFillShade="D9"/>
            <w:vAlign w:val="center"/>
          </w:tcPr>
          <w:p w14:paraId="566C9989" w14:textId="5EFBEB99" w:rsidR="00C277A5" w:rsidRPr="00C90A05" w:rsidRDefault="00C277A5" w:rsidP="00C277A5">
            <w:pPr>
              <w:jc w:val="center"/>
              <w:rPr>
                <w:rFonts w:cs="Arial"/>
                <w:color w:val="000000" w:themeColor="text1"/>
                <w:sz w:val="18"/>
                <w:szCs w:val="20"/>
              </w:rPr>
            </w:pPr>
            <w:r w:rsidRPr="00C90A05">
              <w:rPr>
                <w:rFonts w:cs="Arial"/>
                <w:color w:val="000000" w:themeColor="text1"/>
                <w:sz w:val="18"/>
                <w:szCs w:val="20"/>
              </w:rPr>
              <w:t xml:space="preserve">0.700 </w:t>
            </w:r>
            <w:r w:rsidRPr="00C90A05">
              <w:rPr>
                <w:sz w:val="18"/>
              </w:rPr>
              <w:t>± 0.334</w:t>
            </w:r>
          </w:p>
        </w:tc>
        <w:tc>
          <w:tcPr>
            <w:tcW w:w="1413" w:type="dxa"/>
            <w:tcBorders>
              <w:top w:val="nil"/>
              <w:left w:val="nil"/>
              <w:bottom w:val="nil"/>
              <w:right w:val="nil"/>
            </w:tcBorders>
            <w:shd w:val="clear" w:color="auto" w:fill="D9D9D9" w:themeFill="background1" w:themeFillShade="D9"/>
            <w:vAlign w:val="center"/>
          </w:tcPr>
          <w:p w14:paraId="1F4B0E97" w14:textId="0B2500BF" w:rsidR="00C277A5" w:rsidRPr="00C90A05" w:rsidRDefault="00C277A5" w:rsidP="00C277A5">
            <w:pPr>
              <w:jc w:val="center"/>
              <w:rPr>
                <w:rFonts w:cs="Arial"/>
                <w:color w:val="000000" w:themeColor="text1"/>
                <w:sz w:val="18"/>
                <w:szCs w:val="20"/>
              </w:rPr>
            </w:pPr>
            <w:r w:rsidRPr="00C90A05">
              <w:rPr>
                <w:sz w:val="18"/>
              </w:rPr>
              <w:t>0.707 ± 0.335</w:t>
            </w:r>
          </w:p>
        </w:tc>
        <w:tc>
          <w:tcPr>
            <w:tcW w:w="1801" w:type="dxa"/>
            <w:tcBorders>
              <w:top w:val="nil"/>
              <w:left w:val="nil"/>
              <w:bottom w:val="nil"/>
              <w:right w:val="nil"/>
            </w:tcBorders>
            <w:shd w:val="clear" w:color="auto" w:fill="D9D9D9" w:themeFill="background1" w:themeFillShade="D9"/>
            <w:vAlign w:val="center"/>
          </w:tcPr>
          <w:p w14:paraId="1D7B66F6" w14:textId="0F76AE31" w:rsidR="00C277A5" w:rsidRPr="00C90A05" w:rsidRDefault="00C277A5" w:rsidP="00C277A5">
            <w:pPr>
              <w:jc w:val="center"/>
              <w:rPr>
                <w:rFonts w:cs="Arial"/>
                <w:color w:val="000000" w:themeColor="text1"/>
                <w:sz w:val="18"/>
                <w:szCs w:val="20"/>
              </w:rPr>
            </w:pPr>
            <w:r w:rsidRPr="00C90A05">
              <w:rPr>
                <w:sz w:val="18"/>
              </w:rPr>
              <w:t>0.344 - 1.440</w:t>
            </w:r>
          </w:p>
        </w:tc>
        <w:tc>
          <w:tcPr>
            <w:tcW w:w="1647" w:type="dxa"/>
            <w:tcBorders>
              <w:top w:val="nil"/>
              <w:left w:val="nil"/>
              <w:bottom w:val="nil"/>
              <w:right w:val="nil"/>
            </w:tcBorders>
            <w:shd w:val="clear" w:color="auto" w:fill="D9D9D9" w:themeFill="background1" w:themeFillShade="D9"/>
            <w:vAlign w:val="center"/>
          </w:tcPr>
          <w:p w14:paraId="2229B65F" w14:textId="7A6A1016" w:rsidR="00C277A5" w:rsidRPr="00C90A05" w:rsidRDefault="00C277A5" w:rsidP="00C277A5">
            <w:pPr>
              <w:jc w:val="center"/>
              <w:rPr>
                <w:rFonts w:cs="Arial"/>
                <w:color w:val="000000" w:themeColor="text1"/>
                <w:sz w:val="18"/>
                <w:szCs w:val="20"/>
              </w:rPr>
            </w:pPr>
            <w:r w:rsidRPr="00C90A05">
              <w:rPr>
                <w:sz w:val="18"/>
              </w:rPr>
              <w:t>0 - 1.592</w:t>
            </w:r>
          </w:p>
        </w:tc>
      </w:tr>
      <w:tr w:rsidR="00C277A5" w14:paraId="73C4128F" w14:textId="77777777" w:rsidTr="0076249A">
        <w:trPr>
          <w:trHeight w:val="340"/>
        </w:trPr>
        <w:tc>
          <w:tcPr>
            <w:tcW w:w="1374" w:type="dxa"/>
            <w:tcBorders>
              <w:top w:val="nil"/>
              <w:left w:val="nil"/>
              <w:bottom w:val="nil"/>
              <w:right w:val="nil"/>
            </w:tcBorders>
            <w:vAlign w:val="center"/>
          </w:tcPr>
          <w:p w14:paraId="72C4A6CE" w14:textId="296C9FA5" w:rsidR="00C277A5" w:rsidRPr="002017AB" w:rsidRDefault="00C277A5" w:rsidP="00C277A5">
            <w:pPr>
              <w:rPr>
                <w:sz w:val="20"/>
              </w:rPr>
            </w:pPr>
            <w:r w:rsidRPr="002017AB">
              <w:rPr>
                <w:sz w:val="20"/>
              </w:rPr>
              <w:t>Calcium</w:t>
            </w:r>
          </w:p>
        </w:tc>
        <w:tc>
          <w:tcPr>
            <w:tcW w:w="1412" w:type="dxa"/>
            <w:tcBorders>
              <w:top w:val="nil"/>
              <w:left w:val="nil"/>
              <w:bottom w:val="nil"/>
              <w:right w:val="nil"/>
            </w:tcBorders>
            <w:vAlign w:val="center"/>
          </w:tcPr>
          <w:p w14:paraId="7D4029D0" w14:textId="783DE2D3" w:rsidR="00C277A5" w:rsidRPr="00C90A05" w:rsidRDefault="00C277A5" w:rsidP="00C277A5">
            <w:pPr>
              <w:jc w:val="center"/>
              <w:rPr>
                <w:rFonts w:cs="Arial"/>
                <w:color w:val="000000" w:themeColor="text1"/>
                <w:sz w:val="18"/>
                <w:szCs w:val="20"/>
              </w:rPr>
            </w:pPr>
            <w:r w:rsidRPr="00C90A05">
              <w:rPr>
                <w:sz w:val="18"/>
              </w:rPr>
              <w:t>2547 ± 362</w:t>
            </w:r>
          </w:p>
        </w:tc>
        <w:tc>
          <w:tcPr>
            <w:tcW w:w="1413" w:type="dxa"/>
            <w:tcBorders>
              <w:top w:val="nil"/>
              <w:left w:val="nil"/>
              <w:bottom w:val="nil"/>
              <w:right w:val="nil"/>
            </w:tcBorders>
            <w:vAlign w:val="center"/>
          </w:tcPr>
          <w:p w14:paraId="21910FDE" w14:textId="7BBAB2F6" w:rsidR="00C277A5" w:rsidRPr="00C90A05" w:rsidRDefault="00C277A5" w:rsidP="00C277A5">
            <w:pPr>
              <w:jc w:val="center"/>
              <w:rPr>
                <w:rFonts w:cs="Arial"/>
                <w:color w:val="000000" w:themeColor="text1"/>
                <w:sz w:val="18"/>
                <w:szCs w:val="20"/>
              </w:rPr>
            </w:pPr>
            <w:r w:rsidRPr="00C90A05">
              <w:rPr>
                <w:sz w:val="18"/>
              </w:rPr>
              <w:t>2435 ± 345</w:t>
            </w:r>
          </w:p>
        </w:tc>
        <w:tc>
          <w:tcPr>
            <w:tcW w:w="1413" w:type="dxa"/>
            <w:tcBorders>
              <w:top w:val="nil"/>
              <w:left w:val="nil"/>
              <w:bottom w:val="nil"/>
              <w:right w:val="nil"/>
            </w:tcBorders>
            <w:shd w:val="clear" w:color="auto" w:fill="C6D9F1" w:themeFill="text2" w:themeFillTint="33"/>
            <w:vAlign w:val="center"/>
          </w:tcPr>
          <w:p w14:paraId="551A8280" w14:textId="145D0C25" w:rsidR="00C277A5" w:rsidRPr="00C90A05" w:rsidRDefault="00C277A5" w:rsidP="00C277A5">
            <w:pPr>
              <w:jc w:val="center"/>
              <w:rPr>
                <w:rFonts w:cs="Arial"/>
                <w:color w:val="000000" w:themeColor="text1"/>
                <w:sz w:val="18"/>
                <w:szCs w:val="20"/>
              </w:rPr>
            </w:pPr>
            <w:r w:rsidRPr="00C90A05">
              <w:rPr>
                <w:sz w:val="18"/>
              </w:rPr>
              <w:t>2343 ± 334</w:t>
            </w:r>
          </w:p>
        </w:tc>
        <w:tc>
          <w:tcPr>
            <w:tcW w:w="1801" w:type="dxa"/>
            <w:tcBorders>
              <w:top w:val="nil"/>
              <w:left w:val="nil"/>
              <w:bottom w:val="nil"/>
              <w:right w:val="nil"/>
            </w:tcBorders>
            <w:vAlign w:val="center"/>
          </w:tcPr>
          <w:p w14:paraId="750D53F2" w14:textId="55B9CE5B" w:rsidR="00C277A5" w:rsidRPr="00C90A05" w:rsidRDefault="00C277A5" w:rsidP="00C277A5">
            <w:pPr>
              <w:jc w:val="center"/>
              <w:rPr>
                <w:rFonts w:cs="Arial"/>
                <w:color w:val="000000" w:themeColor="text1"/>
                <w:sz w:val="18"/>
                <w:szCs w:val="20"/>
              </w:rPr>
            </w:pPr>
            <w:r w:rsidRPr="00C90A05">
              <w:rPr>
                <w:sz w:val="18"/>
              </w:rPr>
              <w:t>1480 - 3689</w:t>
            </w:r>
          </w:p>
        </w:tc>
        <w:tc>
          <w:tcPr>
            <w:tcW w:w="1647" w:type="dxa"/>
            <w:tcBorders>
              <w:top w:val="nil"/>
              <w:left w:val="nil"/>
              <w:bottom w:val="nil"/>
              <w:right w:val="nil"/>
            </w:tcBorders>
            <w:vAlign w:val="center"/>
          </w:tcPr>
          <w:p w14:paraId="1B5A56E3" w14:textId="0136ABE2" w:rsidR="00C277A5" w:rsidRPr="00C90A05" w:rsidRDefault="00C277A5" w:rsidP="00C277A5">
            <w:pPr>
              <w:jc w:val="center"/>
              <w:rPr>
                <w:rFonts w:cs="Arial"/>
                <w:color w:val="000000" w:themeColor="text1"/>
                <w:sz w:val="18"/>
                <w:szCs w:val="20"/>
              </w:rPr>
            </w:pPr>
            <w:r w:rsidRPr="00C90A05">
              <w:rPr>
                <w:sz w:val="18"/>
              </w:rPr>
              <w:t>1004 - 3987</w:t>
            </w:r>
          </w:p>
        </w:tc>
      </w:tr>
      <w:tr w:rsidR="00C277A5" w14:paraId="2BB6FB05" w14:textId="77777777" w:rsidTr="0076249A">
        <w:trPr>
          <w:trHeight w:val="340"/>
        </w:trPr>
        <w:tc>
          <w:tcPr>
            <w:tcW w:w="1374" w:type="dxa"/>
            <w:tcBorders>
              <w:top w:val="nil"/>
              <w:left w:val="nil"/>
              <w:bottom w:val="nil"/>
              <w:right w:val="nil"/>
            </w:tcBorders>
            <w:shd w:val="clear" w:color="auto" w:fill="D9D9D9" w:themeFill="background1" w:themeFillShade="D9"/>
            <w:vAlign w:val="center"/>
          </w:tcPr>
          <w:p w14:paraId="46D874E9" w14:textId="26F7885A" w:rsidR="00C277A5" w:rsidRPr="002017AB" w:rsidRDefault="00C277A5" w:rsidP="00C277A5">
            <w:pPr>
              <w:rPr>
                <w:rFonts w:cs="Arial"/>
                <w:color w:val="000000" w:themeColor="text1"/>
                <w:sz w:val="20"/>
                <w:szCs w:val="18"/>
              </w:rPr>
            </w:pPr>
            <w:r w:rsidRPr="002017AB">
              <w:rPr>
                <w:sz w:val="20"/>
              </w:rPr>
              <w:t>Copper</w:t>
            </w:r>
          </w:p>
        </w:tc>
        <w:tc>
          <w:tcPr>
            <w:tcW w:w="1412" w:type="dxa"/>
            <w:tcBorders>
              <w:top w:val="nil"/>
              <w:left w:val="nil"/>
              <w:bottom w:val="nil"/>
              <w:right w:val="nil"/>
            </w:tcBorders>
            <w:shd w:val="clear" w:color="auto" w:fill="D9D9D9" w:themeFill="background1" w:themeFillShade="D9"/>
            <w:vAlign w:val="center"/>
          </w:tcPr>
          <w:p w14:paraId="7909FA17" w14:textId="7933B448" w:rsidR="00C277A5" w:rsidRPr="00C90A05" w:rsidRDefault="00C277A5" w:rsidP="00C277A5">
            <w:pPr>
              <w:jc w:val="center"/>
              <w:rPr>
                <w:rFonts w:cs="Arial"/>
                <w:color w:val="000000" w:themeColor="text1"/>
                <w:sz w:val="18"/>
                <w:szCs w:val="20"/>
              </w:rPr>
            </w:pPr>
            <w:r w:rsidRPr="00C90A05">
              <w:rPr>
                <w:sz w:val="18"/>
              </w:rPr>
              <w:t>14.8 ± 4.50</w:t>
            </w:r>
          </w:p>
        </w:tc>
        <w:tc>
          <w:tcPr>
            <w:tcW w:w="1413" w:type="dxa"/>
            <w:tcBorders>
              <w:top w:val="nil"/>
              <w:left w:val="nil"/>
              <w:bottom w:val="nil"/>
              <w:right w:val="nil"/>
            </w:tcBorders>
            <w:shd w:val="clear" w:color="auto" w:fill="D9D9D9" w:themeFill="background1" w:themeFillShade="D9"/>
            <w:vAlign w:val="center"/>
          </w:tcPr>
          <w:p w14:paraId="0ECC3055" w14:textId="4470828D" w:rsidR="00C277A5" w:rsidRPr="00C90A05" w:rsidRDefault="00C277A5" w:rsidP="00C277A5">
            <w:pPr>
              <w:jc w:val="center"/>
              <w:rPr>
                <w:rFonts w:cs="Arial"/>
                <w:sz w:val="18"/>
                <w:szCs w:val="20"/>
              </w:rPr>
            </w:pPr>
            <w:r w:rsidRPr="00C90A05">
              <w:rPr>
                <w:sz w:val="18"/>
              </w:rPr>
              <w:t>14.8 ± 3.44</w:t>
            </w:r>
          </w:p>
        </w:tc>
        <w:tc>
          <w:tcPr>
            <w:tcW w:w="1413" w:type="dxa"/>
            <w:tcBorders>
              <w:top w:val="nil"/>
              <w:left w:val="nil"/>
              <w:bottom w:val="nil"/>
              <w:right w:val="nil"/>
            </w:tcBorders>
            <w:shd w:val="clear" w:color="auto" w:fill="C6D9F1" w:themeFill="text2" w:themeFillTint="33"/>
            <w:vAlign w:val="center"/>
          </w:tcPr>
          <w:p w14:paraId="4A66D69D" w14:textId="50A79E37" w:rsidR="00C277A5" w:rsidRPr="00C90A05" w:rsidRDefault="00C277A5" w:rsidP="00C277A5">
            <w:pPr>
              <w:jc w:val="center"/>
              <w:rPr>
                <w:rFonts w:cs="Arial"/>
                <w:color w:val="000000" w:themeColor="text1"/>
                <w:sz w:val="18"/>
                <w:szCs w:val="20"/>
              </w:rPr>
            </w:pPr>
            <w:r w:rsidRPr="00C90A05">
              <w:rPr>
                <w:sz w:val="18"/>
              </w:rPr>
              <w:t>13.3 ± 2.61</w:t>
            </w:r>
          </w:p>
        </w:tc>
        <w:tc>
          <w:tcPr>
            <w:tcW w:w="1801" w:type="dxa"/>
            <w:tcBorders>
              <w:top w:val="nil"/>
              <w:left w:val="nil"/>
              <w:bottom w:val="nil"/>
              <w:right w:val="nil"/>
            </w:tcBorders>
            <w:shd w:val="clear" w:color="auto" w:fill="D9D9D9" w:themeFill="background1" w:themeFillShade="D9"/>
            <w:vAlign w:val="center"/>
          </w:tcPr>
          <w:p w14:paraId="6644258A" w14:textId="542E6E3F" w:rsidR="00C277A5" w:rsidRPr="00C90A05" w:rsidRDefault="00C277A5" w:rsidP="00C277A5">
            <w:pPr>
              <w:jc w:val="center"/>
              <w:rPr>
                <w:rFonts w:cs="Arial"/>
                <w:color w:val="000000" w:themeColor="text1"/>
                <w:sz w:val="18"/>
                <w:szCs w:val="20"/>
              </w:rPr>
            </w:pPr>
            <w:r w:rsidRPr="00C90A05">
              <w:rPr>
                <w:sz w:val="18"/>
              </w:rPr>
              <w:t>6.8 - 23.2</w:t>
            </w:r>
          </w:p>
        </w:tc>
        <w:tc>
          <w:tcPr>
            <w:tcW w:w="1647" w:type="dxa"/>
            <w:tcBorders>
              <w:top w:val="nil"/>
              <w:left w:val="nil"/>
              <w:bottom w:val="nil"/>
              <w:right w:val="nil"/>
            </w:tcBorders>
            <w:shd w:val="clear" w:color="auto" w:fill="D9D9D9" w:themeFill="background1" w:themeFillShade="D9"/>
            <w:vAlign w:val="center"/>
          </w:tcPr>
          <w:p w14:paraId="5F611D89" w14:textId="1F7357AF" w:rsidR="00C277A5" w:rsidRPr="00C90A05" w:rsidRDefault="00C277A5" w:rsidP="00C277A5">
            <w:pPr>
              <w:jc w:val="center"/>
              <w:rPr>
                <w:rFonts w:cs="Arial"/>
                <w:color w:val="000000" w:themeColor="text1"/>
                <w:sz w:val="18"/>
                <w:szCs w:val="20"/>
              </w:rPr>
            </w:pPr>
            <w:r w:rsidRPr="00C90A05">
              <w:rPr>
                <w:sz w:val="18"/>
              </w:rPr>
              <w:t>3.2 - 20.7</w:t>
            </w:r>
          </w:p>
        </w:tc>
      </w:tr>
      <w:tr w:rsidR="00C277A5" w14:paraId="62C07E5C" w14:textId="77777777" w:rsidTr="0076249A">
        <w:trPr>
          <w:trHeight w:val="340"/>
        </w:trPr>
        <w:tc>
          <w:tcPr>
            <w:tcW w:w="1374" w:type="dxa"/>
            <w:tcBorders>
              <w:top w:val="nil"/>
              <w:left w:val="nil"/>
              <w:bottom w:val="nil"/>
              <w:right w:val="nil"/>
            </w:tcBorders>
            <w:vAlign w:val="center"/>
          </w:tcPr>
          <w:p w14:paraId="25C8B806" w14:textId="05336341" w:rsidR="00C277A5" w:rsidRPr="002017AB" w:rsidRDefault="00C277A5" w:rsidP="00C277A5">
            <w:pPr>
              <w:rPr>
                <w:rFonts w:cs="Arial"/>
                <w:color w:val="000000" w:themeColor="text1"/>
                <w:sz w:val="20"/>
                <w:szCs w:val="18"/>
              </w:rPr>
            </w:pPr>
            <w:r w:rsidRPr="002017AB">
              <w:rPr>
                <w:sz w:val="20"/>
              </w:rPr>
              <w:t>Iron</w:t>
            </w:r>
          </w:p>
        </w:tc>
        <w:tc>
          <w:tcPr>
            <w:tcW w:w="1412" w:type="dxa"/>
            <w:tcBorders>
              <w:top w:val="nil"/>
              <w:left w:val="nil"/>
              <w:bottom w:val="nil"/>
              <w:right w:val="nil"/>
            </w:tcBorders>
            <w:vAlign w:val="center"/>
          </w:tcPr>
          <w:p w14:paraId="2048836A" w14:textId="4F982345" w:rsidR="00C277A5" w:rsidRPr="00C90A05" w:rsidRDefault="00C277A5" w:rsidP="00C277A5">
            <w:pPr>
              <w:jc w:val="center"/>
              <w:rPr>
                <w:rFonts w:cs="Arial"/>
                <w:color w:val="000000" w:themeColor="text1"/>
                <w:sz w:val="18"/>
                <w:szCs w:val="20"/>
              </w:rPr>
            </w:pPr>
            <w:r w:rsidRPr="00C90A05">
              <w:rPr>
                <w:sz w:val="18"/>
              </w:rPr>
              <w:t>118 ± 29.2</w:t>
            </w:r>
          </w:p>
        </w:tc>
        <w:tc>
          <w:tcPr>
            <w:tcW w:w="1413" w:type="dxa"/>
            <w:tcBorders>
              <w:top w:val="nil"/>
              <w:left w:val="nil"/>
              <w:bottom w:val="nil"/>
              <w:right w:val="nil"/>
            </w:tcBorders>
            <w:vAlign w:val="center"/>
          </w:tcPr>
          <w:p w14:paraId="18E64D0E" w14:textId="2B4D2661" w:rsidR="00C277A5" w:rsidRPr="00C90A05" w:rsidRDefault="00C277A5" w:rsidP="00C277A5">
            <w:pPr>
              <w:jc w:val="center"/>
              <w:rPr>
                <w:rFonts w:cs="Arial"/>
                <w:color w:val="000000" w:themeColor="text1"/>
                <w:sz w:val="18"/>
                <w:szCs w:val="20"/>
              </w:rPr>
            </w:pPr>
            <w:r w:rsidRPr="00C90A05">
              <w:rPr>
                <w:sz w:val="18"/>
              </w:rPr>
              <w:t>118 ± 41.1</w:t>
            </w:r>
          </w:p>
        </w:tc>
        <w:tc>
          <w:tcPr>
            <w:tcW w:w="1413" w:type="dxa"/>
            <w:tcBorders>
              <w:top w:val="nil"/>
              <w:left w:val="nil"/>
              <w:bottom w:val="nil"/>
              <w:right w:val="nil"/>
            </w:tcBorders>
            <w:vAlign w:val="center"/>
          </w:tcPr>
          <w:p w14:paraId="5626D9DE" w14:textId="496D755A" w:rsidR="00C277A5" w:rsidRPr="00C90A05" w:rsidRDefault="00C277A5" w:rsidP="00C277A5">
            <w:pPr>
              <w:jc w:val="center"/>
              <w:rPr>
                <w:rFonts w:cs="Arial"/>
                <w:color w:val="000000" w:themeColor="text1"/>
                <w:sz w:val="18"/>
                <w:szCs w:val="20"/>
              </w:rPr>
            </w:pPr>
            <w:r w:rsidRPr="00C90A05">
              <w:rPr>
                <w:sz w:val="18"/>
              </w:rPr>
              <w:t>115 ± 45.3</w:t>
            </w:r>
          </w:p>
        </w:tc>
        <w:tc>
          <w:tcPr>
            <w:tcW w:w="1801" w:type="dxa"/>
            <w:tcBorders>
              <w:top w:val="nil"/>
              <w:left w:val="nil"/>
              <w:bottom w:val="nil"/>
              <w:right w:val="nil"/>
            </w:tcBorders>
            <w:vAlign w:val="center"/>
          </w:tcPr>
          <w:p w14:paraId="2B80F3F0" w14:textId="14484407" w:rsidR="00C277A5" w:rsidRPr="00C90A05" w:rsidRDefault="00C277A5" w:rsidP="00C277A5">
            <w:pPr>
              <w:jc w:val="center"/>
              <w:rPr>
                <w:rFonts w:cs="Arial"/>
                <w:color w:val="000000" w:themeColor="text1"/>
                <w:sz w:val="18"/>
                <w:szCs w:val="20"/>
              </w:rPr>
            </w:pPr>
            <w:r w:rsidRPr="00C90A05">
              <w:rPr>
                <w:sz w:val="18"/>
              </w:rPr>
              <w:t>59 - 364</w:t>
            </w:r>
          </w:p>
        </w:tc>
        <w:tc>
          <w:tcPr>
            <w:tcW w:w="1647" w:type="dxa"/>
            <w:tcBorders>
              <w:top w:val="nil"/>
              <w:left w:val="nil"/>
              <w:bottom w:val="nil"/>
              <w:right w:val="nil"/>
            </w:tcBorders>
            <w:vAlign w:val="center"/>
          </w:tcPr>
          <w:p w14:paraId="0D1B134F" w14:textId="0FC49FCE" w:rsidR="00C277A5" w:rsidRPr="00C90A05" w:rsidRDefault="00C277A5" w:rsidP="00C277A5">
            <w:pPr>
              <w:jc w:val="center"/>
              <w:rPr>
                <w:rFonts w:cs="Arial"/>
                <w:color w:val="000000" w:themeColor="text1"/>
                <w:sz w:val="18"/>
                <w:szCs w:val="20"/>
              </w:rPr>
            </w:pPr>
            <w:r w:rsidRPr="00C90A05">
              <w:rPr>
                <w:sz w:val="18"/>
              </w:rPr>
              <w:t>0 - 233</w:t>
            </w:r>
          </w:p>
        </w:tc>
      </w:tr>
    </w:tbl>
    <w:p w14:paraId="52E6A47B" w14:textId="09F232EA" w:rsidR="005D1D67" w:rsidRDefault="005D1D67"/>
    <w:p w14:paraId="2B97EBB6" w14:textId="0746CF85" w:rsidR="005D1D67" w:rsidRDefault="005D1D67"/>
    <w:p w14:paraId="4293DFA8" w14:textId="2C3834A5" w:rsidR="005D1D67" w:rsidRDefault="005D1D67"/>
    <w:p w14:paraId="0348637B" w14:textId="77777777" w:rsidR="005D1D67" w:rsidRDefault="005D1D67"/>
    <w:tbl>
      <w:tblPr>
        <w:tblStyle w:val="TableGrid"/>
        <w:tblW w:w="0" w:type="auto"/>
        <w:tblLook w:val="04A0" w:firstRow="1" w:lastRow="0" w:firstColumn="1" w:lastColumn="0" w:noHBand="0" w:noVBand="1"/>
        <w:tblCaption w:val="Table 11"/>
        <w:tblDescription w:val="Comparison of vitamins and minerals"/>
      </w:tblPr>
      <w:tblGrid>
        <w:gridCol w:w="1374"/>
        <w:gridCol w:w="1412"/>
        <w:gridCol w:w="1413"/>
        <w:gridCol w:w="1413"/>
        <w:gridCol w:w="1801"/>
        <w:gridCol w:w="1647"/>
      </w:tblGrid>
      <w:tr w:rsidR="005D1D67" w14:paraId="65FDC7C4" w14:textId="77777777" w:rsidTr="005D1D67">
        <w:trPr>
          <w:trHeight w:val="340"/>
        </w:trPr>
        <w:tc>
          <w:tcPr>
            <w:tcW w:w="1374" w:type="dxa"/>
            <w:tcBorders>
              <w:top w:val="nil"/>
              <w:left w:val="nil"/>
              <w:bottom w:val="nil"/>
              <w:right w:val="nil"/>
            </w:tcBorders>
            <w:shd w:val="clear" w:color="auto" w:fill="7F7F7F" w:themeFill="text1" w:themeFillTint="80"/>
            <w:vAlign w:val="center"/>
          </w:tcPr>
          <w:p w14:paraId="278BCD20" w14:textId="3CB658C7" w:rsidR="005D1D67" w:rsidRPr="002017AB" w:rsidRDefault="005D1D67" w:rsidP="005D1D67">
            <w:pPr>
              <w:rPr>
                <w:sz w:val="20"/>
              </w:rPr>
            </w:pPr>
            <w:r w:rsidRPr="00EB6AE6">
              <w:rPr>
                <w:rFonts w:cs="Arial"/>
                <w:b/>
                <w:color w:val="FFFFFF" w:themeColor="background1"/>
                <w:sz w:val="20"/>
                <w:szCs w:val="20"/>
              </w:rPr>
              <w:t>Parameter</w:t>
            </w:r>
          </w:p>
        </w:tc>
        <w:tc>
          <w:tcPr>
            <w:tcW w:w="1412" w:type="dxa"/>
            <w:tcBorders>
              <w:top w:val="nil"/>
              <w:left w:val="nil"/>
              <w:bottom w:val="nil"/>
              <w:right w:val="nil"/>
            </w:tcBorders>
            <w:shd w:val="clear" w:color="auto" w:fill="7F7F7F" w:themeFill="text1" w:themeFillTint="80"/>
            <w:vAlign w:val="center"/>
          </w:tcPr>
          <w:p w14:paraId="394912C7" w14:textId="07415BFF" w:rsidR="005D1D67" w:rsidRPr="00C90A05" w:rsidRDefault="005D1D67" w:rsidP="005D1D67">
            <w:pPr>
              <w:jc w:val="center"/>
              <w:rPr>
                <w:sz w:val="18"/>
              </w:rPr>
            </w:pPr>
            <w:r w:rsidRPr="00EB6AE6">
              <w:rPr>
                <w:rFonts w:cs="Arial"/>
                <w:b/>
                <w:color w:val="FFFFFF" w:themeColor="background1"/>
                <w:sz w:val="20"/>
                <w:szCs w:val="20"/>
              </w:rPr>
              <w:t>Non-GM counterpart</w:t>
            </w:r>
          </w:p>
        </w:tc>
        <w:tc>
          <w:tcPr>
            <w:tcW w:w="1413" w:type="dxa"/>
            <w:tcBorders>
              <w:top w:val="nil"/>
              <w:left w:val="nil"/>
              <w:bottom w:val="nil"/>
              <w:right w:val="nil"/>
            </w:tcBorders>
            <w:shd w:val="clear" w:color="auto" w:fill="7F7F7F" w:themeFill="text1" w:themeFillTint="80"/>
            <w:vAlign w:val="center"/>
          </w:tcPr>
          <w:p w14:paraId="43622114" w14:textId="7172FA29" w:rsidR="005D1D67" w:rsidRPr="00C90A05" w:rsidRDefault="005D1D67" w:rsidP="005D1D67">
            <w:pPr>
              <w:jc w:val="center"/>
              <w:rPr>
                <w:sz w:val="18"/>
              </w:rPr>
            </w:pPr>
            <w:r w:rsidRPr="00EB6AE6">
              <w:rPr>
                <w:rFonts w:cs="Arial"/>
                <w:b/>
                <w:color w:val="FFFFFF" w:themeColor="background1"/>
                <w:sz w:val="20"/>
                <w:szCs w:val="20"/>
              </w:rPr>
              <w:t>GMB151 untreated</w:t>
            </w:r>
          </w:p>
        </w:tc>
        <w:tc>
          <w:tcPr>
            <w:tcW w:w="1413" w:type="dxa"/>
            <w:tcBorders>
              <w:top w:val="nil"/>
              <w:left w:val="nil"/>
              <w:bottom w:val="nil"/>
              <w:right w:val="nil"/>
            </w:tcBorders>
            <w:shd w:val="clear" w:color="auto" w:fill="7F7F7F" w:themeFill="text1" w:themeFillTint="80"/>
            <w:vAlign w:val="center"/>
          </w:tcPr>
          <w:p w14:paraId="269BCC5E" w14:textId="62F3DD65" w:rsidR="005D1D67" w:rsidRPr="00C90A05" w:rsidRDefault="005D1D67" w:rsidP="005D1D67">
            <w:pPr>
              <w:jc w:val="center"/>
              <w:rPr>
                <w:sz w:val="18"/>
              </w:rPr>
            </w:pPr>
            <w:r w:rsidRPr="00EB6AE6">
              <w:rPr>
                <w:rFonts w:cs="Arial"/>
                <w:b/>
                <w:color w:val="FFFFFF" w:themeColor="background1"/>
                <w:sz w:val="20"/>
                <w:szCs w:val="20"/>
              </w:rPr>
              <w:t>GMB151 treated</w:t>
            </w:r>
          </w:p>
        </w:tc>
        <w:tc>
          <w:tcPr>
            <w:tcW w:w="1801" w:type="dxa"/>
            <w:tcBorders>
              <w:top w:val="nil"/>
              <w:left w:val="nil"/>
              <w:bottom w:val="nil"/>
              <w:right w:val="nil"/>
            </w:tcBorders>
            <w:shd w:val="clear" w:color="auto" w:fill="7F7F7F" w:themeFill="text1" w:themeFillTint="80"/>
            <w:vAlign w:val="center"/>
          </w:tcPr>
          <w:p w14:paraId="41FBEC4B" w14:textId="4081581D" w:rsidR="005D1D67" w:rsidRPr="00C90A05" w:rsidRDefault="005D1D67" w:rsidP="005D1D67">
            <w:pPr>
              <w:jc w:val="center"/>
              <w:rPr>
                <w:sz w:val="18"/>
              </w:rPr>
            </w:pPr>
            <w:r w:rsidRPr="00EB6AE6">
              <w:rPr>
                <w:rFonts w:cs="Arial"/>
                <w:b/>
                <w:color w:val="FFFFFF" w:themeColor="background1"/>
                <w:sz w:val="20"/>
                <w:szCs w:val="20"/>
              </w:rPr>
              <w:t>Non-GM reference varieties</w:t>
            </w:r>
          </w:p>
        </w:tc>
        <w:tc>
          <w:tcPr>
            <w:tcW w:w="1647" w:type="dxa"/>
            <w:tcBorders>
              <w:top w:val="nil"/>
              <w:left w:val="nil"/>
              <w:bottom w:val="nil"/>
              <w:right w:val="nil"/>
            </w:tcBorders>
            <w:shd w:val="clear" w:color="auto" w:fill="7F7F7F" w:themeFill="text1" w:themeFillTint="80"/>
            <w:vAlign w:val="center"/>
          </w:tcPr>
          <w:p w14:paraId="78A4D149" w14:textId="719A04C8" w:rsidR="005D1D67" w:rsidRPr="00C90A05" w:rsidRDefault="005D1D67" w:rsidP="005D1D67">
            <w:pPr>
              <w:jc w:val="center"/>
              <w:rPr>
                <w:sz w:val="18"/>
              </w:rPr>
            </w:pPr>
            <w:r w:rsidRPr="00EB6AE6">
              <w:rPr>
                <w:rFonts w:cs="Arial"/>
                <w:b/>
                <w:color w:val="FFFFFF" w:themeColor="background1"/>
                <w:sz w:val="20"/>
                <w:szCs w:val="20"/>
              </w:rPr>
              <w:t>Tolerance Interval</w:t>
            </w:r>
          </w:p>
        </w:tc>
      </w:tr>
      <w:tr w:rsidR="005D1D67" w14:paraId="71DBDB0B" w14:textId="77777777" w:rsidTr="005D1D67">
        <w:trPr>
          <w:trHeight w:val="340"/>
        </w:trPr>
        <w:tc>
          <w:tcPr>
            <w:tcW w:w="1374" w:type="dxa"/>
            <w:tcBorders>
              <w:top w:val="nil"/>
              <w:left w:val="nil"/>
              <w:bottom w:val="nil"/>
              <w:right w:val="nil"/>
            </w:tcBorders>
            <w:shd w:val="clear" w:color="auto" w:fill="7F7F7F" w:themeFill="text1" w:themeFillTint="80"/>
            <w:vAlign w:val="center"/>
          </w:tcPr>
          <w:p w14:paraId="2288B252" w14:textId="2D00CAC8" w:rsidR="005D1D67" w:rsidRDefault="005D1D67" w:rsidP="005D1D67">
            <w:pPr>
              <w:rPr>
                <w:rFonts w:cs="Arial"/>
                <w:b/>
                <w:color w:val="FFFFFF" w:themeColor="background1"/>
                <w:sz w:val="20"/>
                <w:szCs w:val="20"/>
              </w:rPr>
            </w:pPr>
          </w:p>
        </w:tc>
        <w:tc>
          <w:tcPr>
            <w:tcW w:w="1412" w:type="dxa"/>
            <w:tcBorders>
              <w:top w:val="nil"/>
              <w:left w:val="nil"/>
              <w:bottom w:val="nil"/>
              <w:right w:val="nil"/>
            </w:tcBorders>
            <w:shd w:val="clear" w:color="auto" w:fill="7F7F7F" w:themeFill="text1" w:themeFillTint="80"/>
            <w:vAlign w:val="center"/>
          </w:tcPr>
          <w:p w14:paraId="712DC5AF" w14:textId="22345D3E" w:rsidR="005D1D67" w:rsidRPr="00EB6AE6" w:rsidRDefault="005D1D67" w:rsidP="005D1D67">
            <w:pPr>
              <w:jc w:val="center"/>
              <w:rPr>
                <w:rFonts w:cs="Arial"/>
                <w:b/>
                <w:color w:val="FFFFFF" w:themeColor="background1"/>
                <w:sz w:val="20"/>
                <w:szCs w:val="20"/>
              </w:rPr>
            </w:pPr>
            <w:r w:rsidRPr="00EB6AE6">
              <w:rPr>
                <w:rFonts w:cs="Arial"/>
                <w:b/>
                <w:color w:val="FFFFFF" w:themeColor="background1"/>
                <w:sz w:val="20"/>
                <w:szCs w:val="20"/>
              </w:rPr>
              <w:t>Mean ± SD</w:t>
            </w:r>
          </w:p>
        </w:tc>
        <w:tc>
          <w:tcPr>
            <w:tcW w:w="1413" w:type="dxa"/>
            <w:tcBorders>
              <w:top w:val="nil"/>
              <w:left w:val="nil"/>
              <w:bottom w:val="nil"/>
              <w:right w:val="nil"/>
            </w:tcBorders>
            <w:shd w:val="clear" w:color="auto" w:fill="7F7F7F" w:themeFill="text1" w:themeFillTint="80"/>
            <w:vAlign w:val="center"/>
          </w:tcPr>
          <w:p w14:paraId="0405B8DF" w14:textId="4DE9CA72" w:rsidR="005D1D67" w:rsidRPr="00EB6AE6" w:rsidRDefault="005D1D67" w:rsidP="005D1D67">
            <w:pPr>
              <w:jc w:val="center"/>
              <w:rPr>
                <w:rFonts w:cs="Arial"/>
                <w:b/>
                <w:color w:val="FFFFFF" w:themeColor="background1"/>
                <w:sz w:val="20"/>
                <w:szCs w:val="20"/>
              </w:rPr>
            </w:pPr>
            <w:r w:rsidRPr="00EB6AE6">
              <w:rPr>
                <w:rFonts w:cs="Arial"/>
                <w:b/>
                <w:color w:val="FFFFFF" w:themeColor="background1"/>
                <w:sz w:val="20"/>
                <w:szCs w:val="20"/>
              </w:rPr>
              <w:t>Mean ± SD</w:t>
            </w:r>
          </w:p>
        </w:tc>
        <w:tc>
          <w:tcPr>
            <w:tcW w:w="1413" w:type="dxa"/>
            <w:tcBorders>
              <w:top w:val="nil"/>
              <w:left w:val="nil"/>
              <w:bottom w:val="nil"/>
              <w:right w:val="nil"/>
            </w:tcBorders>
            <w:shd w:val="clear" w:color="auto" w:fill="7F7F7F" w:themeFill="text1" w:themeFillTint="80"/>
            <w:vAlign w:val="center"/>
          </w:tcPr>
          <w:p w14:paraId="6A9204DF" w14:textId="1D0856BA" w:rsidR="005D1D67" w:rsidRPr="00EB6AE6" w:rsidRDefault="005D1D67" w:rsidP="005D1D67">
            <w:pPr>
              <w:jc w:val="center"/>
              <w:rPr>
                <w:rFonts w:cs="Arial"/>
                <w:b/>
                <w:color w:val="FFFFFF" w:themeColor="background1"/>
                <w:sz w:val="20"/>
                <w:szCs w:val="20"/>
              </w:rPr>
            </w:pPr>
            <w:r w:rsidRPr="00EB6AE6">
              <w:rPr>
                <w:rFonts w:cs="Arial"/>
                <w:b/>
                <w:color w:val="FFFFFF" w:themeColor="background1"/>
                <w:sz w:val="20"/>
                <w:szCs w:val="20"/>
              </w:rPr>
              <w:t>Mean ± SD</w:t>
            </w:r>
          </w:p>
        </w:tc>
        <w:tc>
          <w:tcPr>
            <w:tcW w:w="1801" w:type="dxa"/>
            <w:tcBorders>
              <w:top w:val="nil"/>
              <w:left w:val="nil"/>
              <w:bottom w:val="nil"/>
              <w:right w:val="nil"/>
            </w:tcBorders>
            <w:shd w:val="clear" w:color="auto" w:fill="7F7F7F" w:themeFill="text1" w:themeFillTint="80"/>
            <w:vAlign w:val="center"/>
          </w:tcPr>
          <w:p w14:paraId="7ED1D23F" w14:textId="63F3D2D8" w:rsidR="005D1D67" w:rsidRPr="00EB6AE6" w:rsidRDefault="005D1D67" w:rsidP="005D1D67">
            <w:pPr>
              <w:jc w:val="center"/>
              <w:rPr>
                <w:rFonts w:cs="Arial"/>
                <w:b/>
                <w:color w:val="FFFFFF" w:themeColor="background1"/>
                <w:sz w:val="20"/>
                <w:szCs w:val="20"/>
              </w:rPr>
            </w:pPr>
            <w:r w:rsidRPr="00EB6AE6">
              <w:rPr>
                <w:rFonts w:cs="Arial"/>
                <w:b/>
                <w:color w:val="FFFFFF" w:themeColor="background1"/>
                <w:sz w:val="20"/>
                <w:szCs w:val="20"/>
              </w:rPr>
              <w:t>Min-max</w:t>
            </w:r>
          </w:p>
        </w:tc>
        <w:tc>
          <w:tcPr>
            <w:tcW w:w="1647" w:type="dxa"/>
            <w:tcBorders>
              <w:top w:val="nil"/>
              <w:left w:val="nil"/>
              <w:bottom w:val="nil"/>
              <w:right w:val="nil"/>
            </w:tcBorders>
            <w:shd w:val="clear" w:color="auto" w:fill="7F7F7F" w:themeFill="text1" w:themeFillTint="80"/>
            <w:vAlign w:val="center"/>
          </w:tcPr>
          <w:p w14:paraId="527BC906" w14:textId="438DABB3" w:rsidR="005D1D67" w:rsidRPr="00EB6AE6" w:rsidRDefault="005D1D67" w:rsidP="005D1D67">
            <w:pPr>
              <w:jc w:val="center"/>
              <w:rPr>
                <w:rFonts w:cs="Arial"/>
                <w:b/>
                <w:color w:val="FFFFFF" w:themeColor="background1"/>
                <w:sz w:val="20"/>
                <w:szCs w:val="20"/>
              </w:rPr>
            </w:pPr>
            <w:r w:rsidRPr="00EB6AE6">
              <w:rPr>
                <w:rFonts w:cs="Arial"/>
                <w:b/>
                <w:color w:val="FFFFFF" w:themeColor="background1"/>
                <w:sz w:val="20"/>
                <w:szCs w:val="20"/>
              </w:rPr>
              <w:t>lower-upper</w:t>
            </w:r>
          </w:p>
        </w:tc>
      </w:tr>
      <w:tr w:rsidR="005D1D67" w14:paraId="3CED3B90" w14:textId="77777777" w:rsidTr="0076249A">
        <w:trPr>
          <w:trHeight w:val="340"/>
        </w:trPr>
        <w:tc>
          <w:tcPr>
            <w:tcW w:w="1374" w:type="dxa"/>
            <w:tcBorders>
              <w:top w:val="nil"/>
              <w:left w:val="nil"/>
              <w:bottom w:val="nil"/>
              <w:right w:val="nil"/>
            </w:tcBorders>
            <w:shd w:val="clear" w:color="auto" w:fill="D9D9D9" w:themeFill="background1" w:themeFillShade="D9"/>
            <w:vAlign w:val="center"/>
          </w:tcPr>
          <w:p w14:paraId="0DBC8643" w14:textId="1E5075D1" w:rsidR="005D1D67" w:rsidRPr="002017AB" w:rsidRDefault="005D1D67" w:rsidP="005D1D67">
            <w:pPr>
              <w:rPr>
                <w:rFonts w:cs="Arial"/>
                <w:color w:val="000000" w:themeColor="text1"/>
                <w:sz w:val="20"/>
                <w:szCs w:val="18"/>
              </w:rPr>
            </w:pPr>
            <w:r w:rsidRPr="002017AB">
              <w:rPr>
                <w:sz w:val="20"/>
              </w:rPr>
              <w:t>Magnesium</w:t>
            </w:r>
          </w:p>
        </w:tc>
        <w:tc>
          <w:tcPr>
            <w:tcW w:w="1412" w:type="dxa"/>
            <w:tcBorders>
              <w:top w:val="nil"/>
              <w:left w:val="nil"/>
              <w:bottom w:val="nil"/>
              <w:right w:val="nil"/>
            </w:tcBorders>
            <w:shd w:val="clear" w:color="auto" w:fill="D9D9D9" w:themeFill="background1" w:themeFillShade="D9"/>
            <w:vAlign w:val="center"/>
          </w:tcPr>
          <w:p w14:paraId="14776EF7" w14:textId="1A8DE450" w:rsidR="005D1D67" w:rsidRPr="00C90A05" w:rsidRDefault="005D1D67" w:rsidP="005D1D67">
            <w:pPr>
              <w:jc w:val="center"/>
              <w:rPr>
                <w:rFonts w:cs="Arial"/>
                <w:color w:val="000000" w:themeColor="text1"/>
                <w:sz w:val="18"/>
                <w:szCs w:val="20"/>
              </w:rPr>
            </w:pPr>
            <w:r w:rsidRPr="00C90A05">
              <w:rPr>
                <w:sz w:val="18"/>
              </w:rPr>
              <w:t>2580 ± 201</w:t>
            </w:r>
          </w:p>
        </w:tc>
        <w:tc>
          <w:tcPr>
            <w:tcW w:w="1413" w:type="dxa"/>
            <w:tcBorders>
              <w:top w:val="nil"/>
              <w:left w:val="nil"/>
              <w:bottom w:val="nil"/>
              <w:right w:val="nil"/>
            </w:tcBorders>
            <w:shd w:val="clear" w:color="auto" w:fill="D9D9D9" w:themeFill="background1" w:themeFillShade="D9"/>
            <w:vAlign w:val="center"/>
          </w:tcPr>
          <w:p w14:paraId="44E8BD2A" w14:textId="49C611D5" w:rsidR="005D1D67" w:rsidRPr="00C90A05" w:rsidRDefault="005D1D67" w:rsidP="005D1D67">
            <w:pPr>
              <w:jc w:val="center"/>
              <w:rPr>
                <w:rFonts w:cs="Arial"/>
                <w:color w:val="000000" w:themeColor="text1"/>
                <w:sz w:val="18"/>
                <w:szCs w:val="20"/>
              </w:rPr>
            </w:pPr>
            <w:r w:rsidRPr="00C90A05">
              <w:rPr>
                <w:sz w:val="18"/>
              </w:rPr>
              <w:t>2497 ± 204</w:t>
            </w:r>
          </w:p>
        </w:tc>
        <w:tc>
          <w:tcPr>
            <w:tcW w:w="1413" w:type="dxa"/>
            <w:tcBorders>
              <w:top w:val="nil"/>
              <w:left w:val="nil"/>
              <w:bottom w:val="nil"/>
              <w:right w:val="nil"/>
            </w:tcBorders>
            <w:shd w:val="clear" w:color="auto" w:fill="D9D9D9" w:themeFill="background1" w:themeFillShade="D9"/>
            <w:vAlign w:val="center"/>
          </w:tcPr>
          <w:p w14:paraId="2FADE061" w14:textId="073BE194" w:rsidR="005D1D67" w:rsidRPr="00C90A05" w:rsidRDefault="005D1D67" w:rsidP="005D1D67">
            <w:pPr>
              <w:jc w:val="center"/>
              <w:rPr>
                <w:rFonts w:cs="Arial"/>
                <w:color w:val="000000" w:themeColor="text1"/>
                <w:sz w:val="18"/>
                <w:szCs w:val="20"/>
              </w:rPr>
            </w:pPr>
            <w:r w:rsidRPr="00C90A05">
              <w:rPr>
                <w:sz w:val="18"/>
              </w:rPr>
              <w:t>2498 ± 268</w:t>
            </w:r>
          </w:p>
        </w:tc>
        <w:tc>
          <w:tcPr>
            <w:tcW w:w="1801" w:type="dxa"/>
            <w:tcBorders>
              <w:top w:val="nil"/>
              <w:left w:val="nil"/>
              <w:bottom w:val="nil"/>
              <w:right w:val="nil"/>
            </w:tcBorders>
            <w:shd w:val="clear" w:color="auto" w:fill="D9D9D9" w:themeFill="background1" w:themeFillShade="D9"/>
            <w:vAlign w:val="center"/>
          </w:tcPr>
          <w:p w14:paraId="3C85C733" w14:textId="33666B8E" w:rsidR="005D1D67" w:rsidRPr="00C90A05" w:rsidRDefault="005D1D67" w:rsidP="005D1D67">
            <w:pPr>
              <w:jc w:val="center"/>
              <w:rPr>
                <w:rFonts w:cs="Arial"/>
                <w:color w:val="000000" w:themeColor="text1"/>
                <w:sz w:val="18"/>
                <w:szCs w:val="20"/>
              </w:rPr>
            </w:pPr>
            <w:r w:rsidRPr="00C90A05">
              <w:rPr>
                <w:sz w:val="18"/>
              </w:rPr>
              <w:t>1954 - 3177</w:t>
            </w:r>
          </w:p>
        </w:tc>
        <w:tc>
          <w:tcPr>
            <w:tcW w:w="1647" w:type="dxa"/>
            <w:tcBorders>
              <w:top w:val="nil"/>
              <w:left w:val="nil"/>
              <w:bottom w:val="nil"/>
              <w:right w:val="nil"/>
            </w:tcBorders>
            <w:shd w:val="clear" w:color="auto" w:fill="D9D9D9" w:themeFill="background1" w:themeFillShade="D9"/>
            <w:vAlign w:val="center"/>
          </w:tcPr>
          <w:p w14:paraId="7337C0D2" w14:textId="5798DC83" w:rsidR="005D1D67" w:rsidRPr="00C90A05" w:rsidRDefault="005D1D67" w:rsidP="005D1D67">
            <w:pPr>
              <w:jc w:val="center"/>
              <w:rPr>
                <w:rFonts w:cs="Arial"/>
                <w:color w:val="000000" w:themeColor="text1"/>
                <w:sz w:val="18"/>
                <w:szCs w:val="20"/>
              </w:rPr>
            </w:pPr>
            <w:r w:rsidRPr="00C90A05">
              <w:rPr>
                <w:sz w:val="18"/>
              </w:rPr>
              <w:t>1758 - 3278</w:t>
            </w:r>
          </w:p>
        </w:tc>
      </w:tr>
      <w:tr w:rsidR="005D1D67" w14:paraId="0D9BF233" w14:textId="77777777" w:rsidTr="0076249A">
        <w:trPr>
          <w:trHeight w:val="340"/>
        </w:trPr>
        <w:tc>
          <w:tcPr>
            <w:tcW w:w="1374" w:type="dxa"/>
            <w:tcBorders>
              <w:top w:val="nil"/>
              <w:left w:val="nil"/>
              <w:bottom w:val="nil"/>
              <w:right w:val="nil"/>
            </w:tcBorders>
            <w:vAlign w:val="center"/>
          </w:tcPr>
          <w:p w14:paraId="7412E624" w14:textId="45C95399" w:rsidR="005D1D67" w:rsidRPr="002017AB" w:rsidRDefault="005D1D67" w:rsidP="005D1D67">
            <w:pPr>
              <w:rPr>
                <w:rFonts w:cs="Arial"/>
                <w:color w:val="000000" w:themeColor="text1"/>
                <w:sz w:val="20"/>
                <w:szCs w:val="18"/>
              </w:rPr>
            </w:pPr>
            <w:r w:rsidRPr="002017AB">
              <w:rPr>
                <w:sz w:val="20"/>
              </w:rPr>
              <w:t>Manganese</w:t>
            </w:r>
          </w:p>
        </w:tc>
        <w:tc>
          <w:tcPr>
            <w:tcW w:w="1412" w:type="dxa"/>
            <w:tcBorders>
              <w:top w:val="nil"/>
              <w:left w:val="nil"/>
              <w:bottom w:val="nil"/>
              <w:right w:val="nil"/>
            </w:tcBorders>
            <w:vAlign w:val="center"/>
          </w:tcPr>
          <w:p w14:paraId="1413E353" w14:textId="507C8729" w:rsidR="005D1D67" w:rsidRPr="00C90A05" w:rsidRDefault="005D1D67" w:rsidP="005D1D67">
            <w:pPr>
              <w:jc w:val="center"/>
              <w:rPr>
                <w:rFonts w:cs="Arial"/>
                <w:color w:val="000000" w:themeColor="text1"/>
                <w:sz w:val="18"/>
                <w:szCs w:val="20"/>
              </w:rPr>
            </w:pPr>
            <w:r w:rsidRPr="00C90A05">
              <w:rPr>
                <w:sz w:val="18"/>
              </w:rPr>
              <w:t>39.2 ± 9.72</w:t>
            </w:r>
          </w:p>
        </w:tc>
        <w:tc>
          <w:tcPr>
            <w:tcW w:w="1413" w:type="dxa"/>
            <w:tcBorders>
              <w:top w:val="nil"/>
              <w:left w:val="nil"/>
              <w:bottom w:val="nil"/>
              <w:right w:val="nil"/>
            </w:tcBorders>
            <w:shd w:val="clear" w:color="auto" w:fill="FFFFFF" w:themeFill="background1"/>
            <w:vAlign w:val="center"/>
          </w:tcPr>
          <w:p w14:paraId="5A049E86" w14:textId="4EA6F3DE" w:rsidR="005D1D67" w:rsidRPr="00C90A05" w:rsidRDefault="005D1D67" w:rsidP="005D1D67">
            <w:pPr>
              <w:jc w:val="center"/>
              <w:rPr>
                <w:rFonts w:cs="Arial"/>
                <w:color w:val="000000" w:themeColor="text1"/>
                <w:sz w:val="18"/>
                <w:szCs w:val="20"/>
              </w:rPr>
            </w:pPr>
            <w:r w:rsidRPr="00C90A05">
              <w:rPr>
                <w:sz w:val="18"/>
              </w:rPr>
              <w:t>40.4 ± 9.79</w:t>
            </w:r>
          </w:p>
        </w:tc>
        <w:tc>
          <w:tcPr>
            <w:tcW w:w="1413" w:type="dxa"/>
            <w:tcBorders>
              <w:top w:val="nil"/>
              <w:left w:val="nil"/>
              <w:bottom w:val="nil"/>
              <w:right w:val="nil"/>
            </w:tcBorders>
            <w:shd w:val="clear" w:color="auto" w:fill="FFFFFF" w:themeFill="background1"/>
            <w:vAlign w:val="center"/>
          </w:tcPr>
          <w:p w14:paraId="7E425D6F" w14:textId="1F49A31D" w:rsidR="005D1D67" w:rsidRPr="00C90A05" w:rsidRDefault="005D1D67" w:rsidP="005D1D67">
            <w:pPr>
              <w:jc w:val="center"/>
              <w:rPr>
                <w:rFonts w:cs="Arial"/>
                <w:color w:val="000000" w:themeColor="text1"/>
                <w:sz w:val="18"/>
                <w:szCs w:val="20"/>
              </w:rPr>
            </w:pPr>
            <w:r w:rsidRPr="00C90A05">
              <w:rPr>
                <w:sz w:val="18"/>
              </w:rPr>
              <w:t>38.2 ± 10.46</w:t>
            </w:r>
          </w:p>
        </w:tc>
        <w:tc>
          <w:tcPr>
            <w:tcW w:w="1801" w:type="dxa"/>
            <w:tcBorders>
              <w:top w:val="nil"/>
              <w:left w:val="nil"/>
              <w:bottom w:val="nil"/>
              <w:right w:val="nil"/>
            </w:tcBorders>
            <w:vAlign w:val="center"/>
          </w:tcPr>
          <w:p w14:paraId="53075499" w14:textId="7B38E419" w:rsidR="005D1D67" w:rsidRPr="00C90A05" w:rsidRDefault="005D1D67" w:rsidP="005D1D67">
            <w:pPr>
              <w:jc w:val="center"/>
              <w:rPr>
                <w:rFonts w:cs="Arial"/>
                <w:color w:val="000000" w:themeColor="text1"/>
                <w:sz w:val="18"/>
                <w:szCs w:val="20"/>
              </w:rPr>
            </w:pPr>
            <w:r w:rsidRPr="00C90A05">
              <w:rPr>
                <w:sz w:val="18"/>
              </w:rPr>
              <w:t>23.8 - 74.7</w:t>
            </w:r>
          </w:p>
        </w:tc>
        <w:tc>
          <w:tcPr>
            <w:tcW w:w="1647" w:type="dxa"/>
            <w:tcBorders>
              <w:top w:val="nil"/>
              <w:left w:val="nil"/>
              <w:bottom w:val="nil"/>
              <w:right w:val="nil"/>
            </w:tcBorders>
            <w:vAlign w:val="center"/>
          </w:tcPr>
          <w:p w14:paraId="5B45535D" w14:textId="29B2A74F" w:rsidR="005D1D67" w:rsidRPr="00C90A05" w:rsidRDefault="005D1D67" w:rsidP="005D1D67">
            <w:pPr>
              <w:jc w:val="center"/>
              <w:rPr>
                <w:rFonts w:cs="Arial"/>
                <w:color w:val="000000" w:themeColor="text1"/>
                <w:sz w:val="18"/>
                <w:szCs w:val="20"/>
              </w:rPr>
            </w:pPr>
            <w:r w:rsidRPr="00C90A05">
              <w:rPr>
                <w:sz w:val="18"/>
              </w:rPr>
              <w:t>3.7 - 68.1</w:t>
            </w:r>
          </w:p>
        </w:tc>
      </w:tr>
      <w:tr w:rsidR="005D1D67" w14:paraId="2F4579EB" w14:textId="77777777" w:rsidTr="0076249A">
        <w:trPr>
          <w:trHeight w:val="340"/>
        </w:trPr>
        <w:tc>
          <w:tcPr>
            <w:tcW w:w="1374" w:type="dxa"/>
            <w:tcBorders>
              <w:top w:val="nil"/>
              <w:left w:val="nil"/>
              <w:bottom w:val="nil"/>
              <w:right w:val="nil"/>
            </w:tcBorders>
            <w:shd w:val="clear" w:color="auto" w:fill="D9D9D9" w:themeFill="background1" w:themeFillShade="D9"/>
            <w:vAlign w:val="center"/>
          </w:tcPr>
          <w:p w14:paraId="32A75915" w14:textId="0F040EA6" w:rsidR="005D1D67" w:rsidRPr="002017AB" w:rsidRDefault="005D1D67" w:rsidP="005D1D67">
            <w:pPr>
              <w:rPr>
                <w:rFonts w:cs="Arial"/>
                <w:color w:val="000000" w:themeColor="text1"/>
                <w:sz w:val="20"/>
                <w:szCs w:val="18"/>
              </w:rPr>
            </w:pPr>
            <w:r w:rsidRPr="002017AB">
              <w:rPr>
                <w:sz w:val="20"/>
              </w:rPr>
              <w:t>Phosphorus</w:t>
            </w:r>
          </w:p>
        </w:tc>
        <w:tc>
          <w:tcPr>
            <w:tcW w:w="1412" w:type="dxa"/>
            <w:tcBorders>
              <w:top w:val="nil"/>
              <w:left w:val="nil"/>
              <w:bottom w:val="nil"/>
              <w:right w:val="nil"/>
            </w:tcBorders>
            <w:shd w:val="clear" w:color="auto" w:fill="D9D9D9" w:themeFill="background1" w:themeFillShade="D9"/>
            <w:vAlign w:val="center"/>
          </w:tcPr>
          <w:p w14:paraId="59114A34" w14:textId="545A0F47" w:rsidR="005D1D67" w:rsidRPr="00C90A05" w:rsidRDefault="005D1D67" w:rsidP="005D1D67">
            <w:pPr>
              <w:jc w:val="center"/>
              <w:rPr>
                <w:rFonts w:cs="Arial"/>
                <w:color w:val="000000" w:themeColor="text1"/>
                <w:sz w:val="18"/>
                <w:szCs w:val="20"/>
              </w:rPr>
            </w:pPr>
            <w:r w:rsidRPr="00C90A05">
              <w:rPr>
                <w:sz w:val="18"/>
              </w:rPr>
              <w:t>6135 ± 762</w:t>
            </w:r>
          </w:p>
        </w:tc>
        <w:tc>
          <w:tcPr>
            <w:tcW w:w="1413" w:type="dxa"/>
            <w:tcBorders>
              <w:top w:val="nil"/>
              <w:left w:val="nil"/>
              <w:bottom w:val="nil"/>
              <w:right w:val="nil"/>
            </w:tcBorders>
            <w:shd w:val="clear" w:color="auto" w:fill="D9D9D9" w:themeFill="background1" w:themeFillShade="D9"/>
            <w:vAlign w:val="center"/>
          </w:tcPr>
          <w:p w14:paraId="075882FD" w14:textId="75E65D2B" w:rsidR="005D1D67" w:rsidRPr="00C90A05" w:rsidRDefault="005D1D67" w:rsidP="005D1D67">
            <w:pPr>
              <w:jc w:val="center"/>
              <w:rPr>
                <w:rFonts w:cs="Arial"/>
                <w:color w:val="000000" w:themeColor="text1"/>
                <w:sz w:val="18"/>
                <w:szCs w:val="20"/>
              </w:rPr>
            </w:pPr>
            <w:r w:rsidRPr="00C90A05">
              <w:rPr>
                <w:sz w:val="18"/>
              </w:rPr>
              <w:t>6170 ± 673</w:t>
            </w:r>
          </w:p>
        </w:tc>
        <w:tc>
          <w:tcPr>
            <w:tcW w:w="1413" w:type="dxa"/>
            <w:tcBorders>
              <w:top w:val="nil"/>
              <w:left w:val="nil"/>
              <w:bottom w:val="nil"/>
              <w:right w:val="nil"/>
            </w:tcBorders>
            <w:shd w:val="clear" w:color="auto" w:fill="D9D9D9" w:themeFill="background1" w:themeFillShade="D9"/>
            <w:vAlign w:val="center"/>
          </w:tcPr>
          <w:p w14:paraId="69A5CC12" w14:textId="670359C9" w:rsidR="005D1D67" w:rsidRPr="00C90A05" w:rsidRDefault="005D1D67" w:rsidP="005D1D67">
            <w:pPr>
              <w:jc w:val="center"/>
              <w:rPr>
                <w:rFonts w:cs="Arial"/>
                <w:color w:val="000000" w:themeColor="text1"/>
                <w:sz w:val="18"/>
                <w:szCs w:val="20"/>
              </w:rPr>
            </w:pPr>
            <w:r w:rsidRPr="00C90A05">
              <w:rPr>
                <w:sz w:val="18"/>
              </w:rPr>
              <w:t>6090 ± 730</w:t>
            </w:r>
          </w:p>
        </w:tc>
        <w:tc>
          <w:tcPr>
            <w:tcW w:w="1801" w:type="dxa"/>
            <w:tcBorders>
              <w:top w:val="nil"/>
              <w:left w:val="nil"/>
              <w:bottom w:val="nil"/>
              <w:right w:val="nil"/>
            </w:tcBorders>
            <w:shd w:val="clear" w:color="auto" w:fill="D9D9D9" w:themeFill="background1" w:themeFillShade="D9"/>
            <w:vAlign w:val="center"/>
          </w:tcPr>
          <w:p w14:paraId="1892B62B" w14:textId="50939827" w:rsidR="005D1D67" w:rsidRPr="00C90A05" w:rsidRDefault="005D1D67" w:rsidP="005D1D67">
            <w:pPr>
              <w:jc w:val="center"/>
              <w:rPr>
                <w:rFonts w:cs="Arial"/>
                <w:color w:val="000000" w:themeColor="text1"/>
                <w:sz w:val="18"/>
                <w:szCs w:val="20"/>
              </w:rPr>
            </w:pPr>
            <w:r w:rsidRPr="00C90A05">
              <w:rPr>
                <w:sz w:val="18"/>
              </w:rPr>
              <w:t>4789 - 7773</w:t>
            </w:r>
          </w:p>
        </w:tc>
        <w:tc>
          <w:tcPr>
            <w:tcW w:w="1647" w:type="dxa"/>
            <w:tcBorders>
              <w:top w:val="nil"/>
              <w:left w:val="nil"/>
              <w:bottom w:val="nil"/>
              <w:right w:val="nil"/>
            </w:tcBorders>
            <w:shd w:val="clear" w:color="auto" w:fill="D9D9D9" w:themeFill="background1" w:themeFillShade="D9"/>
            <w:vAlign w:val="center"/>
          </w:tcPr>
          <w:p w14:paraId="4F634B1D" w14:textId="07ACE619" w:rsidR="005D1D67" w:rsidRPr="00C90A05" w:rsidRDefault="005D1D67" w:rsidP="005D1D67">
            <w:pPr>
              <w:jc w:val="center"/>
              <w:rPr>
                <w:rFonts w:cs="Arial"/>
                <w:color w:val="000000" w:themeColor="text1"/>
                <w:sz w:val="18"/>
                <w:szCs w:val="20"/>
              </w:rPr>
            </w:pPr>
            <w:r w:rsidRPr="00C90A05">
              <w:rPr>
                <w:sz w:val="18"/>
              </w:rPr>
              <w:t>4088 - 8109</w:t>
            </w:r>
          </w:p>
        </w:tc>
      </w:tr>
      <w:tr w:rsidR="005D1D67" w14:paraId="13E36547" w14:textId="77777777" w:rsidTr="0076249A">
        <w:trPr>
          <w:trHeight w:val="340"/>
        </w:trPr>
        <w:tc>
          <w:tcPr>
            <w:tcW w:w="1374" w:type="dxa"/>
            <w:tcBorders>
              <w:top w:val="nil"/>
              <w:left w:val="nil"/>
              <w:bottom w:val="nil"/>
              <w:right w:val="nil"/>
            </w:tcBorders>
            <w:vAlign w:val="center"/>
          </w:tcPr>
          <w:p w14:paraId="1762F2CE" w14:textId="7D357A97" w:rsidR="005D1D67" w:rsidRPr="002017AB" w:rsidRDefault="005D1D67" w:rsidP="005D1D67">
            <w:pPr>
              <w:rPr>
                <w:rFonts w:cs="Arial"/>
                <w:color w:val="000000" w:themeColor="text1"/>
                <w:sz w:val="20"/>
                <w:szCs w:val="18"/>
              </w:rPr>
            </w:pPr>
            <w:r w:rsidRPr="002017AB">
              <w:rPr>
                <w:sz w:val="20"/>
              </w:rPr>
              <w:t>Potassium</w:t>
            </w:r>
          </w:p>
        </w:tc>
        <w:tc>
          <w:tcPr>
            <w:tcW w:w="1412" w:type="dxa"/>
            <w:tcBorders>
              <w:top w:val="nil"/>
              <w:left w:val="nil"/>
              <w:bottom w:val="nil"/>
              <w:right w:val="nil"/>
            </w:tcBorders>
            <w:vAlign w:val="center"/>
          </w:tcPr>
          <w:p w14:paraId="4A0998C9" w14:textId="1E08F967" w:rsidR="005D1D67" w:rsidRPr="00C90A05" w:rsidRDefault="005D1D67" w:rsidP="005D1D67">
            <w:pPr>
              <w:jc w:val="center"/>
              <w:rPr>
                <w:rFonts w:cs="Arial"/>
                <w:color w:val="000000" w:themeColor="text1"/>
                <w:sz w:val="18"/>
                <w:szCs w:val="20"/>
              </w:rPr>
            </w:pPr>
            <w:r w:rsidRPr="00C90A05">
              <w:rPr>
                <w:sz w:val="18"/>
              </w:rPr>
              <w:t>19545 ± 1214</w:t>
            </w:r>
          </w:p>
        </w:tc>
        <w:tc>
          <w:tcPr>
            <w:tcW w:w="1413" w:type="dxa"/>
            <w:tcBorders>
              <w:top w:val="nil"/>
              <w:left w:val="nil"/>
              <w:bottom w:val="nil"/>
              <w:right w:val="nil"/>
            </w:tcBorders>
            <w:vAlign w:val="center"/>
          </w:tcPr>
          <w:p w14:paraId="6D372997" w14:textId="21912C70" w:rsidR="005D1D67" w:rsidRPr="00C90A05" w:rsidRDefault="005D1D67" w:rsidP="005D1D67">
            <w:pPr>
              <w:jc w:val="center"/>
              <w:rPr>
                <w:rFonts w:cs="Arial"/>
                <w:color w:val="000000" w:themeColor="text1"/>
                <w:sz w:val="18"/>
                <w:szCs w:val="20"/>
              </w:rPr>
            </w:pPr>
            <w:r w:rsidRPr="00C90A05">
              <w:rPr>
                <w:sz w:val="18"/>
              </w:rPr>
              <w:t>19937 ± 1601</w:t>
            </w:r>
          </w:p>
        </w:tc>
        <w:tc>
          <w:tcPr>
            <w:tcW w:w="1413" w:type="dxa"/>
            <w:tcBorders>
              <w:top w:val="nil"/>
              <w:left w:val="nil"/>
              <w:bottom w:val="nil"/>
              <w:right w:val="nil"/>
            </w:tcBorders>
            <w:shd w:val="clear" w:color="auto" w:fill="FFFFFF" w:themeFill="background1"/>
            <w:vAlign w:val="center"/>
          </w:tcPr>
          <w:p w14:paraId="78436623" w14:textId="06987473" w:rsidR="005D1D67" w:rsidRPr="00C90A05" w:rsidRDefault="005D1D67" w:rsidP="005D1D67">
            <w:pPr>
              <w:jc w:val="center"/>
              <w:rPr>
                <w:rFonts w:cs="Arial"/>
                <w:color w:val="000000" w:themeColor="text1"/>
                <w:sz w:val="18"/>
                <w:szCs w:val="20"/>
              </w:rPr>
            </w:pPr>
            <w:r w:rsidRPr="00C90A05">
              <w:rPr>
                <w:sz w:val="18"/>
              </w:rPr>
              <w:t>19862 ± 1425</w:t>
            </w:r>
          </w:p>
        </w:tc>
        <w:tc>
          <w:tcPr>
            <w:tcW w:w="1801" w:type="dxa"/>
            <w:tcBorders>
              <w:top w:val="nil"/>
              <w:left w:val="nil"/>
              <w:bottom w:val="nil"/>
              <w:right w:val="nil"/>
            </w:tcBorders>
            <w:vAlign w:val="center"/>
          </w:tcPr>
          <w:p w14:paraId="4CB2364A" w14:textId="494100C9" w:rsidR="005D1D67" w:rsidRPr="00C90A05" w:rsidRDefault="005D1D67" w:rsidP="005D1D67">
            <w:pPr>
              <w:jc w:val="center"/>
              <w:rPr>
                <w:rFonts w:cs="Arial"/>
                <w:color w:val="000000" w:themeColor="text1"/>
                <w:sz w:val="18"/>
                <w:szCs w:val="20"/>
              </w:rPr>
            </w:pPr>
            <w:r w:rsidRPr="00C90A05">
              <w:rPr>
                <w:sz w:val="18"/>
              </w:rPr>
              <w:t>16973 - 22831</w:t>
            </w:r>
          </w:p>
        </w:tc>
        <w:tc>
          <w:tcPr>
            <w:tcW w:w="1647" w:type="dxa"/>
            <w:tcBorders>
              <w:top w:val="nil"/>
              <w:left w:val="nil"/>
              <w:bottom w:val="nil"/>
              <w:right w:val="nil"/>
            </w:tcBorders>
            <w:vAlign w:val="center"/>
          </w:tcPr>
          <w:p w14:paraId="6BD98C2C" w14:textId="15CD39F7" w:rsidR="005D1D67" w:rsidRPr="00C90A05" w:rsidRDefault="005D1D67" w:rsidP="005D1D67">
            <w:pPr>
              <w:jc w:val="center"/>
              <w:rPr>
                <w:rFonts w:cs="Arial"/>
                <w:color w:val="000000" w:themeColor="text1"/>
                <w:sz w:val="18"/>
                <w:szCs w:val="20"/>
              </w:rPr>
            </w:pPr>
            <w:r w:rsidRPr="00C90A05">
              <w:rPr>
                <w:sz w:val="18"/>
              </w:rPr>
              <w:t>15691 - 24021</w:t>
            </w:r>
          </w:p>
        </w:tc>
      </w:tr>
      <w:tr w:rsidR="005D1D67" w14:paraId="29D2DCB9" w14:textId="77777777" w:rsidTr="0076249A">
        <w:trPr>
          <w:trHeight w:val="340"/>
        </w:trPr>
        <w:tc>
          <w:tcPr>
            <w:tcW w:w="1374" w:type="dxa"/>
            <w:tcBorders>
              <w:top w:val="nil"/>
              <w:left w:val="nil"/>
              <w:bottom w:val="nil"/>
              <w:right w:val="nil"/>
            </w:tcBorders>
            <w:shd w:val="clear" w:color="auto" w:fill="D9D9D9" w:themeFill="background1" w:themeFillShade="D9"/>
            <w:vAlign w:val="center"/>
          </w:tcPr>
          <w:p w14:paraId="1E98B4D9" w14:textId="04B1EFBD" w:rsidR="005D1D67" w:rsidRPr="002017AB" w:rsidRDefault="005D1D67" w:rsidP="005D1D67">
            <w:pPr>
              <w:rPr>
                <w:rFonts w:cs="Arial"/>
                <w:color w:val="000000" w:themeColor="text1"/>
                <w:sz w:val="20"/>
                <w:szCs w:val="18"/>
              </w:rPr>
            </w:pPr>
            <w:r w:rsidRPr="002017AB">
              <w:rPr>
                <w:sz w:val="20"/>
              </w:rPr>
              <w:t>Zinc</w:t>
            </w:r>
          </w:p>
        </w:tc>
        <w:tc>
          <w:tcPr>
            <w:tcW w:w="1412" w:type="dxa"/>
            <w:tcBorders>
              <w:top w:val="nil"/>
              <w:left w:val="nil"/>
              <w:bottom w:val="nil"/>
              <w:right w:val="nil"/>
            </w:tcBorders>
            <w:shd w:val="clear" w:color="auto" w:fill="D9D9D9" w:themeFill="background1" w:themeFillShade="D9"/>
            <w:vAlign w:val="center"/>
          </w:tcPr>
          <w:p w14:paraId="635E9D81" w14:textId="1D8D7B47" w:rsidR="005D1D67" w:rsidRPr="00C90A05" w:rsidRDefault="005D1D67" w:rsidP="005D1D67">
            <w:pPr>
              <w:jc w:val="center"/>
              <w:rPr>
                <w:rFonts w:cs="Arial"/>
                <w:color w:val="000000" w:themeColor="text1"/>
                <w:sz w:val="18"/>
                <w:szCs w:val="20"/>
              </w:rPr>
            </w:pPr>
            <w:r w:rsidRPr="00C90A05">
              <w:rPr>
                <w:sz w:val="18"/>
              </w:rPr>
              <w:t>58.4 ± 11.47</w:t>
            </w:r>
          </w:p>
        </w:tc>
        <w:tc>
          <w:tcPr>
            <w:tcW w:w="1413" w:type="dxa"/>
            <w:tcBorders>
              <w:top w:val="nil"/>
              <w:left w:val="nil"/>
              <w:bottom w:val="nil"/>
              <w:right w:val="nil"/>
            </w:tcBorders>
            <w:shd w:val="clear" w:color="auto" w:fill="D9D9D9" w:themeFill="background1" w:themeFillShade="D9"/>
            <w:vAlign w:val="center"/>
          </w:tcPr>
          <w:p w14:paraId="3FCD524D" w14:textId="36E9F868" w:rsidR="005D1D67" w:rsidRPr="00C90A05" w:rsidRDefault="005D1D67" w:rsidP="005D1D67">
            <w:pPr>
              <w:jc w:val="center"/>
              <w:rPr>
                <w:rFonts w:cs="Arial"/>
                <w:color w:val="000000" w:themeColor="text1"/>
                <w:sz w:val="18"/>
                <w:szCs w:val="20"/>
              </w:rPr>
            </w:pPr>
            <w:r w:rsidRPr="00C90A05">
              <w:rPr>
                <w:sz w:val="18"/>
              </w:rPr>
              <w:t>57.7 ± 13.47</w:t>
            </w:r>
          </w:p>
        </w:tc>
        <w:tc>
          <w:tcPr>
            <w:tcW w:w="1413" w:type="dxa"/>
            <w:tcBorders>
              <w:top w:val="nil"/>
              <w:left w:val="nil"/>
              <w:bottom w:val="nil"/>
              <w:right w:val="nil"/>
            </w:tcBorders>
            <w:shd w:val="clear" w:color="auto" w:fill="C6D9F1" w:themeFill="text2" w:themeFillTint="33"/>
            <w:vAlign w:val="center"/>
          </w:tcPr>
          <w:p w14:paraId="42DB3827" w14:textId="2FB0204D" w:rsidR="005D1D67" w:rsidRPr="00C90A05" w:rsidRDefault="005D1D67" w:rsidP="005D1D67">
            <w:pPr>
              <w:jc w:val="center"/>
              <w:rPr>
                <w:rFonts w:cs="Arial"/>
                <w:color w:val="000000" w:themeColor="text1"/>
                <w:sz w:val="18"/>
                <w:szCs w:val="20"/>
              </w:rPr>
            </w:pPr>
            <w:r w:rsidRPr="00C90A05">
              <w:rPr>
                <w:sz w:val="18"/>
              </w:rPr>
              <w:t>54.2 ± 9.90</w:t>
            </w:r>
          </w:p>
        </w:tc>
        <w:tc>
          <w:tcPr>
            <w:tcW w:w="1801" w:type="dxa"/>
            <w:tcBorders>
              <w:top w:val="nil"/>
              <w:left w:val="nil"/>
              <w:bottom w:val="nil"/>
              <w:right w:val="nil"/>
            </w:tcBorders>
            <w:shd w:val="clear" w:color="auto" w:fill="D9D9D9" w:themeFill="background1" w:themeFillShade="D9"/>
            <w:vAlign w:val="center"/>
          </w:tcPr>
          <w:p w14:paraId="6F060463" w14:textId="5BAB8134" w:rsidR="005D1D67" w:rsidRPr="00C90A05" w:rsidRDefault="005D1D67" w:rsidP="005D1D67">
            <w:pPr>
              <w:jc w:val="center"/>
              <w:rPr>
                <w:rFonts w:cs="Arial"/>
                <w:color w:val="000000" w:themeColor="text1"/>
                <w:sz w:val="18"/>
                <w:szCs w:val="20"/>
              </w:rPr>
            </w:pPr>
            <w:r w:rsidRPr="00C90A05">
              <w:rPr>
                <w:sz w:val="18"/>
              </w:rPr>
              <w:t>33.0 - 85.6</w:t>
            </w:r>
          </w:p>
        </w:tc>
        <w:tc>
          <w:tcPr>
            <w:tcW w:w="1647" w:type="dxa"/>
            <w:tcBorders>
              <w:top w:val="nil"/>
              <w:left w:val="nil"/>
              <w:bottom w:val="nil"/>
              <w:right w:val="nil"/>
            </w:tcBorders>
            <w:shd w:val="clear" w:color="auto" w:fill="D9D9D9" w:themeFill="background1" w:themeFillShade="D9"/>
            <w:vAlign w:val="center"/>
          </w:tcPr>
          <w:p w14:paraId="54E32A19" w14:textId="0C9D2C1C" w:rsidR="005D1D67" w:rsidRPr="00C90A05" w:rsidRDefault="005D1D67" w:rsidP="005D1D67">
            <w:pPr>
              <w:jc w:val="center"/>
              <w:rPr>
                <w:rFonts w:cs="Arial"/>
                <w:color w:val="000000" w:themeColor="text1"/>
                <w:sz w:val="18"/>
                <w:szCs w:val="20"/>
              </w:rPr>
            </w:pPr>
            <w:r w:rsidRPr="00C90A05">
              <w:rPr>
                <w:sz w:val="18"/>
              </w:rPr>
              <w:t>18.0 - 80.6</w:t>
            </w:r>
          </w:p>
        </w:tc>
      </w:tr>
    </w:tbl>
    <w:p w14:paraId="1D21FDDE" w14:textId="77777777" w:rsidR="00977222" w:rsidRPr="00595714" w:rsidRDefault="00977222" w:rsidP="00595714">
      <w:pPr>
        <w:pStyle w:val="FSTableTitle"/>
        <w:spacing w:before="80"/>
        <w:rPr>
          <w:b w:val="0"/>
          <w:sz w:val="16"/>
          <w:szCs w:val="18"/>
        </w:rPr>
      </w:pPr>
      <w:r w:rsidRPr="00595714">
        <w:rPr>
          <w:b w:val="0"/>
          <w:sz w:val="16"/>
          <w:szCs w:val="18"/>
        </w:rPr>
        <w:t xml:space="preserve">1. </w:t>
      </w:r>
      <w:r w:rsidRPr="00595714">
        <w:rPr>
          <w:b w:val="0"/>
          <w:color w:val="000000" w:themeColor="text1"/>
          <w:sz w:val="16"/>
          <w:szCs w:val="18"/>
        </w:rPr>
        <w:t>Cells highlighted in blue show statistically significant data.</w:t>
      </w:r>
    </w:p>
    <w:p w14:paraId="0A29C1FD" w14:textId="77777777" w:rsidR="00977222" w:rsidRDefault="00977222" w:rsidP="00221257">
      <w:pPr>
        <w:pStyle w:val="Heading3"/>
      </w:pPr>
      <w:bookmarkStart w:id="229" w:name="_Toc491439853"/>
      <w:bookmarkStart w:id="230" w:name="_Toc493515884"/>
      <w:bookmarkStart w:id="231" w:name="_Toc495489354"/>
      <w:bookmarkStart w:id="232" w:name="_Toc496169807"/>
      <w:r w:rsidRPr="00D53E1B">
        <w:t>5.3.4</w:t>
      </w:r>
      <w:r>
        <w:tab/>
        <w:t>Fatty Acids</w:t>
      </w:r>
      <w:bookmarkEnd w:id="229"/>
      <w:bookmarkEnd w:id="230"/>
      <w:bookmarkEnd w:id="231"/>
      <w:bookmarkEnd w:id="232"/>
    </w:p>
    <w:p w14:paraId="7F03B271" w14:textId="6965C335" w:rsidR="00977222" w:rsidRDefault="00977222" w:rsidP="00977222">
      <w:pPr>
        <w:rPr>
          <w:rFonts w:cs="Arial"/>
          <w:szCs w:val="22"/>
        </w:rPr>
      </w:pPr>
      <w:r>
        <w:rPr>
          <w:rFonts w:cs="Arial"/>
          <w:szCs w:val="22"/>
        </w:rPr>
        <w:t>The following</w:t>
      </w:r>
      <w:r w:rsidRPr="00A41AFA">
        <w:rPr>
          <w:rFonts w:cs="Arial"/>
          <w:szCs w:val="22"/>
        </w:rPr>
        <w:t xml:space="preserve"> </w:t>
      </w:r>
      <w:r>
        <w:rPr>
          <w:rFonts w:cs="Arial"/>
          <w:szCs w:val="22"/>
        </w:rPr>
        <w:t xml:space="preserve">fatty acids were excluded from the </w:t>
      </w:r>
      <w:r w:rsidRPr="00A41AFA">
        <w:rPr>
          <w:rFonts w:cs="Arial"/>
          <w:szCs w:val="22"/>
        </w:rPr>
        <w:t>statistical summary</w:t>
      </w:r>
      <w:r>
        <w:rPr>
          <w:rFonts w:cs="Arial"/>
          <w:szCs w:val="22"/>
        </w:rPr>
        <w:t xml:space="preserve"> as they</w:t>
      </w:r>
      <w:r w:rsidRPr="00A41AFA">
        <w:rPr>
          <w:rFonts w:cs="Arial"/>
          <w:szCs w:val="22"/>
        </w:rPr>
        <w:t xml:space="preserve"> had more than </w:t>
      </w:r>
      <w:r>
        <w:rPr>
          <w:rFonts w:cs="Arial"/>
          <w:szCs w:val="22"/>
        </w:rPr>
        <w:t>2/3</w:t>
      </w:r>
      <w:r w:rsidRPr="00F4070E">
        <w:rPr>
          <w:rFonts w:cs="Arial"/>
          <w:szCs w:val="22"/>
          <w:vertAlign w:val="superscript"/>
        </w:rPr>
        <w:t>rd</w:t>
      </w:r>
      <w:r>
        <w:rPr>
          <w:rFonts w:cs="Arial"/>
          <w:szCs w:val="22"/>
        </w:rPr>
        <w:t xml:space="preserve"> </w:t>
      </w:r>
      <w:r w:rsidRPr="00A41AFA">
        <w:rPr>
          <w:rFonts w:cs="Arial"/>
          <w:szCs w:val="22"/>
        </w:rPr>
        <w:t>of observations below the LOQ</w:t>
      </w:r>
      <w:r>
        <w:rPr>
          <w:rFonts w:cs="Arial"/>
          <w:szCs w:val="22"/>
        </w:rPr>
        <w:t>:</w:t>
      </w:r>
      <w:r w:rsidRPr="00A41AFA">
        <w:rPr>
          <w:rFonts w:cs="Arial"/>
          <w:szCs w:val="22"/>
        </w:rPr>
        <w:t xml:space="preserve"> 8:0 caprylic acid, 10:0 capric acid, 12:0 lauric acid, 14:1 myristoleic acid, 15:0 pentadecanoic acid, 15:1 pentadecenoic acid, 18:</w:t>
      </w:r>
      <w:r>
        <w:rPr>
          <w:rFonts w:cs="Arial"/>
          <w:szCs w:val="22"/>
        </w:rPr>
        <w:t>4</w:t>
      </w:r>
      <w:r w:rsidRPr="00A41AFA">
        <w:rPr>
          <w:rFonts w:cs="Arial"/>
          <w:szCs w:val="22"/>
        </w:rPr>
        <w:t xml:space="preserve"> </w:t>
      </w:r>
      <w:r>
        <w:rPr>
          <w:rFonts w:cs="Arial"/>
          <w:szCs w:val="22"/>
        </w:rPr>
        <w:t>stearidonic acid</w:t>
      </w:r>
      <w:r w:rsidRPr="00A41AFA">
        <w:rPr>
          <w:rFonts w:cs="Arial"/>
          <w:szCs w:val="22"/>
        </w:rPr>
        <w:t xml:space="preserve">, </w:t>
      </w:r>
      <w:r w:rsidR="00530121">
        <w:rPr>
          <w:rFonts w:cs="Arial"/>
          <w:szCs w:val="22"/>
        </w:rPr>
        <w:t xml:space="preserve">19:0 nonadecanoic acid, </w:t>
      </w:r>
      <w:r w:rsidRPr="00A41AFA">
        <w:rPr>
          <w:rFonts w:cs="Arial"/>
          <w:szCs w:val="22"/>
        </w:rPr>
        <w:t>20:2 eicosadienoic acid, 20:3 eicosatrienoic acid</w:t>
      </w:r>
      <w:r>
        <w:rPr>
          <w:rFonts w:cs="Arial"/>
          <w:szCs w:val="22"/>
        </w:rPr>
        <w:t>,</w:t>
      </w:r>
      <w:r w:rsidRPr="00A41AFA">
        <w:rPr>
          <w:rFonts w:cs="Arial"/>
          <w:szCs w:val="22"/>
        </w:rPr>
        <w:t xml:space="preserve"> 20:4 arachidonic acid</w:t>
      </w:r>
      <w:r w:rsidR="00530121">
        <w:rPr>
          <w:rFonts w:cs="Arial"/>
          <w:szCs w:val="22"/>
        </w:rPr>
        <w:t xml:space="preserve">, 20:5 eicosapentaenoic acid, </w:t>
      </w:r>
      <w:r>
        <w:rPr>
          <w:rFonts w:cs="Arial"/>
          <w:szCs w:val="22"/>
        </w:rPr>
        <w:t>22:1 er</w:t>
      </w:r>
      <w:r w:rsidR="00530121">
        <w:rPr>
          <w:rFonts w:cs="Arial"/>
          <w:szCs w:val="22"/>
        </w:rPr>
        <w:t xml:space="preserve">ucic acid, 22:5 N3 docosapentaenoic acid, 22:5 N6 docosapentaenoic acid and </w:t>
      </w:r>
      <w:r>
        <w:rPr>
          <w:rFonts w:cs="Arial"/>
          <w:szCs w:val="22"/>
        </w:rPr>
        <w:t>22:6 d</w:t>
      </w:r>
      <w:r w:rsidRPr="00C56562">
        <w:rPr>
          <w:rFonts w:cs="Arial"/>
          <w:szCs w:val="22"/>
        </w:rPr>
        <w:t xml:space="preserve">ocosahexaenoic </w:t>
      </w:r>
      <w:r>
        <w:rPr>
          <w:rFonts w:cs="Arial"/>
          <w:szCs w:val="22"/>
        </w:rPr>
        <w:t>a</w:t>
      </w:r>
      <w:r w:rsidRPr="00C56562">
        <w:rPr>
          <w:rFonts w:cs="Arial"/>
          <w:szCs w:val="22"/>
        </w:rPr>
        <w:t>cid</w:t>
      </w:r>
      <w:r>
        <w:rPr>
          <w:rFonts w:cs="Arial"/>
          <w:szCs w:val="22"/>
        </w:rPr>
        <w:t>.</w:t>
      </w:r>
    </w:p>
    <w:p w14:paraId="4BE18758" w14:textId="77777777" w:rsidR="00977222" w:rsidRDefault="00977222" w:rsidP="00977222">
      <w:pPr>
        <w:rPr>
          <w:color w:val="000000" w:themeColor="text1"/>
        </w:rPr>
      </w:pPr>
    </w:p>
    <w:p w14:paraId="26122332" w14:textId="45BAF5BA" w:rsidR="00977222" w:rsidRDefault="00977222" w:rsidP="00977222">
      <w:pPr>
        <w:rPr>
          <w:color w:val="000000" w:themeColor="text1"/>
        </w:rPr>
      </w:pPr>
      <w:r>
        <w:rPr>
          <w:color w:val="000000" w:themeColor="text1"/>
        </w:rPr>
        <w:t>Statistically significant differe</w:t>
      </w:r>
      <w:r w:rsidR="001A50AB">
        <w:rPr>
          <w:color w:val="000000" w:themeColor="text1"/>
        </w:rPr>
        <w:t>nces were observed for palmit</w:t>
      </w:r>
      <w:r>
        <w:rPr>
          <w:color w:val="000000" w:themeColor="text1"/>
        </w:rPr>
        <w:t xml:space="preserve">ic </w:t>
      </w:r>
      <w:r w:rsidR="001A50AB">
        <w:rPr>
          <w:color w:val="000000" w:themeColor="text1"/>
        </w:rPr>
        <w:t xml:space="preserve">acid </w:t>
      </w:r>
      <w:r>
        <w:rPr>
          <w:color w:val="000000" w:themeColor="text1"/>
        </w:rPr>
        <w:t>(</w:t>
      </w:r>
      <w:r w:rsidR="001A50AB">
        <w:rPr>
          <w:color w:val="000000" w:themeColor="text1"/>
        </w:rPr>
        <w:sym w:font="Wingdings 3" w:char="F0A0"/>
      </w:r>
      <w:r w:rsidR="001A50AB">
        <w:rPr>
          <w:color w:val="000000" w:themeColor="text1"/>
        </w:rPr>
        <w:t xml:space="preserve"> </w:t>
      </w:r>
      <w:r w:rsidR="0076249A">
        <w:rPr>
          <w:color w:val="000000" w:themeColor="text1"/>
        </w:rPr>
        <w:t>3-4</w:t>
      </w:r>
      <w:r>
        <w:rPr>
          <w:color w:val="000000" w:themeColor="text1"/>
        </w:rPr>
        <w:t>% change)</w:t>
      </w:r>
      <w:r w:rsidR="001A50AB">
        <w:rPr>
          <w:color w:val="000000" w:themeColor="text1"/>
        </w:rPr>
        <w:t>, heptadecenoic acid (</w:t>
      </w:r>
      <w:r w:rsidR="001A50AB">
        <w:rPr>
          <w:color w:val="000000" w:themeColor="text1"/>
        </w:rPr>
        <w:sym w:font="Wingdings 3" w:char="F09F"/>
      </w:r>
      <w:r w:rsidR="001A50AB">
        <w:rPr>
          <w:color w:val="000000" w:themeColor="text1"/>
        </w:rPr>
        <w:t xml:space="preserve"> 5%), oleic acid (</w:t>
      </w:r>
      <w:r w:rsidR="001A50AB">
        <w:rPr>
          <w:color w:val="000000" w:themeColor="text1"/>
        </w:rPr>
        <w:sym w:font="Wingdings 3" w:char="F09F"/>
      </w:r>
      <w:r w:rsidR="001A50AB">
        <w:rPr>
          <w:color w:val="000000" w:themeColor="text1"/>
        </w:rPr>
        <w:t xml:space="preserve"> 7-8%), linoleic acid (</w:t>
      </w:r>
      <w:r w:rsidR="001A55C6">
        <w:rPr>
          <w:color w:val="000000" w:themeColor="text1"/>
        </w:rPr>
        <w:sym w:font="Wingdings 3" w:char="F0A0"/>
      </w:r>
      <w:r w:rsidR="001A50AB">
        <w:rPr>
          <w:color w:val="000000" w:themeColor="text1"/>
        </w:rPr>
        <w:t xml:space="preserve"> 2%), eicosenoic acid (</w:t>
      </w:r>
      <w:r w:rsidR="001A50AB">
        <w:rPr>
          <w:color w:val="000000" w:themeColor="text1"/>
        </w:rPr>
        <w:sym w:font="Wingdings 3" w:char="F09F"/>
      </w:r>
      <w:r w:rsidR="001A50AB">
        <w:rPr>
          <w:color w:val="000000" w:themeColor="text1"/>
        </w:rPr>
        <w:t xml:space="preserve"> 4-5%) and behenic acid (</w:t>
      </w:r>
      <w:r w:rsidR="001A50AB">
        <w:rPr>
          <w:color w:val="000000" w:themeColor="text1"/>
        </w:rPr>
        <w:sym w:font="Wingdings 3" w:char="F09F"/>
      </w:r>
      <w:r w:rsidR="001A50AB">
        <w:rPr>
          <w:color w:val="000000" w:themeColor="text1"/>
        </w:rPr>
        <w:t xml:space="preserve"> 14-16%) </w:t>
      </w:r>
      <w:r>
        <w:rPr>
          <w:color w:val="000000" w:themeColor="text1"/>
        </w:rPr>
        <w:t xml:space="preserve">in both the untreated and treated </w:t>
      </w:r>
      <w:r w:rsidR="00B53A1F">
        <w:rPr>
          <w:color w:val="000000" w:themeColor="text1"/>
        </w:rPr>
        <w:t>GMB151</w:t>
      </w:r>
      <w:r>
        <w:rPr>
          <w:color w:val="000000" w:themeColor="text1"/>
        </w:rPr>
        <w:t xml:space="preserve"> lines</w:t>
      </w:r>
      <w:r w:rsidR="001A55C6">
        <w:rPr>
          <w:color w:val="000000" w:themeColor="text1"/>
        </w:rPr>
        <w:t xml:space="preserve"> compared to control</w:t>
      </w:r>
      <w:r>
        <w:rPr>
          <w:color w:val="000000" w:themeColor="text1"/>
        </w:rPr>
        <w:t xml:space="preserve"> (</w:t>
      </w:r>
      <w:hyperlink w:anchor="Table12" w:history="1">
        <w:r w:rsidRPr="00666F68">
          <w:rPr>
            <w:rStyle w:val="Hyperlink"/>
          </w:rPr>
          <w:t>Table 12</w:t>
        </w:r>
      </w:hyperlink>
      <w:r>
        <w:rPr>
          <w:color w:val="000000" w:themeColor="text1"/>
        </w:rPr>
        <w:t>)</w:t>
      </w:r>
      <w:r w:rsidR="001A50AB">
        <w:rPr>
          <w:color w:val="000000" w:themeColor="text1"/>
        </w:rPr>
        <w:t>.</w:t>
      </w:r>
      <w:r>
        <w:rPr>
          <w:color w:val="000000" w:themeColor="text1"/>
        </w:rPr>
        <w:t xml:space="preserve"> </w:t>
      </w:r>
      <w:r w:rsidR="001A50AB">
        <w:rPr>
          <w:color w:val="000000" w:themeColor="text1"/>
        </w:rPr>
        <w:t>A</w:t>
      </w:r>
      <w:r>
        <w:rPr>
          <w:color w:val="000000" w:themeColor="text1"/>
        </w:rPr>
        <w:t xml:space="preserve"> statistically significant decrease was observed in </w:t>
      </w:r>
      <w:r w:rsidR="001A50AB">
        <w:rPr>
          <w:color w:val="000000" w:themeColor="text1"/>
        </w:rPr>
        <w:t>lignoceric acid</w:t>
      </w:r>
      <w:r>
        <w:rPr>
          <w:color w:val="000000" w:themeColor="text1"/>
        </w:rPr>
        <w:t xml:space="preserve"> (</w:t>
      </w:r>
      <w:r>
        <w:rPr>
          <w:color w:val="000000" w:themeColor="text1"/>
        </w:rPr>
        <w:sym w:font="Wingdings 3" w:char="F0A0"/>
      </w:r>
      <w:r>
        <w:rPr>
          <w:color w:val="000000" w:themeColor="text1"/>
        </w:rPr>
        <w:t xml:space="preserve"> </w:t>
      </w:r>
      <w:r w:rsidR="001A50AB">
        <w:rPr>
          <w:color w:val="000000" w:themeColor="text1"/>
        </w:rPr>
        <w:t>12</w:t>
      </w:r>
      <w:r>
        <w:rPr>
          <w:color w:val="000000" w:themeColor="text1"/>
        </w:rPr>
        <w:t xml:space="preserve">% change) in treated </w:t>
      </w:r>
      <w:r w:rsidR="00B53A1F">
        <w:rPr>
          <w:color w:val="000000" w:themeColor="text1"/>
        </w:rPr>
        <w:t>GMB151</w:t>
      </w:r>
      <w:r w:rsidR="001A55C6">
        <w:rPr>
          <w:color w:val="000000" w:themeColor="text1"/>
        </w:rPr>
        <w:t xml:space="preserve"> compared to control</w:t>
      </w:r>
      <w:r>
        <w:rPr>
          <w:color w:val="000000" w:themeColor="text1"/>
        </w:rPr>
        <w:t xml:space="preserve">. For </w:t>
      </w:r>
      <w:r w:rsidR="001A50AB">
        <w:rPr>
          <w:color w:val="000000" w:themeColor="text1"/>
        </w:rPr>
        <w:t xml:space="preserve">the </w:t>
      </w:r>
      <w:r w:rsidR="002216B8">
        <w:rPr>
          <w:color w:val="000000" w:themeColor="text1"/>
        </w:rPr>
        <w:t>changes</w:t>
      </w:r>
      <w:r w:rsidR="001A50AB">
        <w:rPr>
          <w:color w:val="000000" w:themeColor="text1"/>
        </w:rPr>
        <w:t xml:space="preserve"> </w:t>
      </w:r>
      <w:r w:rsidR="002216B8">
        <w:rPr>
          <w:color w:val="000000" w:themeColor="text1"/>
        </w:rPr>
        <w:t>reported</w:t>
      </w:r>
      <w:r w:rsidR="001A50AB">
        <w:rPr>
          <w:color w:val="000000" w:themeColor="text1"/>
        </w:rPr>
        <w:t xml:space="preserve"> for eicosenoic and behenic acids</w:t>
      </w:r>
      <w:r>
        <w:rPr>
          <w:color w:val="000000" w:themeColor="text1"/>
        </w:rPr>
        <w:t xml:space="preserve">, the significant </w:t>
      </w:r>
      <w:r w:rsidR="001A50AB">
        <w:rPr>
          <w:color w:val="000000" w:themeColor="text1"/>
        </w:rPr>
        <w:t>differences w</w:t>
      </w:r>
      <w:r w:rsidR="00AF6CE6">
        <w:rPr>
          <w:color w:val="000000" w:themeColor="text1"/>
        </w:rPr>
        <w:t>ere</w:t>
      </w:r>
      <w:r w:rsidR="001A50AB">
        <w:rPr>
          <w:color w:val="000000" w:themeColor="text1"/>
        </w:rPr>
        <w:t xml:space="preserve"> </w:t>
      </w:r>
      <w:r w:rsidR="002216B8">
        <w:rPr>
          <w:color w:val="000000" w:themeColor="text1"/>
        </w:rPr>
        <w:t>observed</w:t>
      </w:r>
      <w:r w:rsidR="001A50AB">
        <w:rPr>
          <w:color w:val="000000" w:themeColor="text1"/>
        </w:rPr>
        <w:t xml:space="preserve"> </w:t>
      </w:r>
      <w:r w:rsidR="002216B8">
        <w:rPr>
          <w:color w:val="000000" w:themeColor="text1"/>
        </w:rPr>
        <w:t>at</w:t>
      </w:r>
      <w:r w:rsidR="001A50AB">
        <w:rPr>
          <w:color w:val="000000" w:themeColor="text1"/>
        </w:rPr>
        <w:t xml:space="preserve"> 2 of 8 and 4 of 8 sites</w:t>
      </w:r>
      <w:r w:rsidR="00595714">
        <w:rPr>
          <w:color w:val="000000" w:themeColor="text1"/>
        </w:rPr>
        <w:t>,</w:t>
      </w:r>
      <w:r w:rsidR="002216B8">
        <w:rPr>
          <w:color w:val="000000" w:themeColor="text1"/>
        </w:rPr>
        <w:t xml:space="preserve"> respectively</w:t>
      </w:r>
      <w:r>
        <w:rPr>
          <w:color w:val="000000" w:themeColor="text1"/>
        </w:rPr>
        <w:t>. The magnitude of these changes for the</w:t>
      </w:r>
      <w:r w:rsidR="00595714">
        <w:rPr>
          <w:color w:val="000000" w:themeColor="text1"/>
        </w:rPr>
        <w:t>se</w:t>
      </w:r>
      <w:r>
        <w:rPr>
          <w:color w:val="000000" w:themeColor="text1"/>
        </w:rPr>
        <w:t xml:space="preserve"> fatty acids are small and the mean values fall within the </w:t>
      </w:r>
      <w:r w:rsidR="002216B8">
        <w:rPr>
          <w:color w:val="000000" w:themeColor="text1"/>
        </w:rPr>
        <w:t xml:space="preserve">reference ranges and </w:t>
      </w:r>
      <w:r>
        <w:rPr>
          <w:color w:val="000000" w:themeColor="text1"/>
        </w:rPr>
        <w:t xml:space="preserve">tolerance interval, indicating that </w:t>
      </w:r>
      <w:r w:rsidR="00CD0BD5">
        <w:rPr>
          <w:color w:val="000000" w:themeColor="text1"/>
        </w:rPr>
        <w:t xml:space="preserve">these </w:t>
      </w:r>
      <w:r>
        <w:rPr>
          <w:color w:val="000000" w:themeColor="text1"/>
        </w:rPr>
        <w:t>differences are not biologically significant.</w:t>
      </w:r>
    </w:p>
    <w:p w14:paraId="49621C45" w14:textId="10DBEE39" w:rsidR="00D877D8" w:rsidRDefault="00D877D8">
      <w:pPr>
        <w:widowControl/>
        <w:rPr>
          <w:rFonts w:cs="Arial"/>
          <w:b/>
        </w:rPr>
      </w:pPr>
    </w:p>
    <w:p w14:paraId="59A42168" w14:textId="25F1D416" w:rsidR="00977222" w:rsidRDefault="00977222" w:rsidP="00977222">
      <w:pPr>
        <w:pStyle w:val="FSTableTitle"/>
        <w:spacing w:after="120"/>
      </w:pPr>
      <w:bookmarkStart w:id="233" w:name="Table12"/>
      <w:r>
        <w:t>Table 12</w:t>
      </w:r>
      <w:bookmarkEnd w:id="233"/>
      <w:r>
        <w:t xml:space="preserve">: </w:t>
      </w:r>
      <w:r w:rsidRPr="00827952">
        <w:t xml:space="preserve">Comparison of </w:t>
      </w:r>
      <w:r>
        <w:t>Fatty Acids (% Total Fatty Acids)</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2"/>
        <w:tblDescription w:val="Comparison of fatty acids"/>
      </w:tblPr>
      <w:tblGrid>
        <w:gridCol w:w="2585"/>
        <w:gridCol w:w="1340"/>
        <w:gridCol w:w="1340"/>
        <w:gridCol w:w="1340"/>
        <w:gridCol w:w="1340"/>
        <w:gridCol w:w="1341"/>
      </w:tblGrid>
      <w:tr w:rsidR="00977222" w14:paraId="7D4BC107" w14:textId="77777777" w:rsidTr="00595714">
        <w:trPr>
          <w:trHeight w:val="737"/>
        </w:trPr>
        <w:tc>
          <w:tcPr>
            <w:tcW w:w="2585" w:type="dxa"/>
            <w:vMerge w:val="restart"/>
            <w:shd w:val="clear" w:color="auto" w:fill="7F7F7F" w:themeFill="text1" w:themeFillTint="80"/>
            <w:vAlign w:val="center"/>
          </w:tcPr>
          <w:p w14:paraId="08A28294" w14:textId="77777777" w:rsidR="00977222" w:rsidRPr="00595714" w:rsidRDefault="00977222" w:rsidP="006E49E2">
            <w:pPr>
              <w:rPr>
                <w:rFonts w:cs="Arial"/>
                <w:b/>
                <w:color w:val="FFFFFF" w:themeColor="background1"/>
                <w:sz w:val="20"/>
                <w:szCs w:val="20"/>
              </w:rPr>
            </w:pPr>
            <w:r w:rsidRPr="00595714">
              <w:rPr>
                <w:rFonts w:cs="Arial"/>
                <w:b/>
                <w:color w:val="FFFFFF" w:themeColor="background1"/>
                <w:sz w:val="20"/>
                <w:szCs w:val="20"/>
              </w:rPr>
              <w:t>Parameter</w:t>
            </w:r>
          </w:p>
        </w:tc>
        <w:tc>
          <w:tcPr>
            <w:tcW w:w="1340" w:type="dxa"/>
            <w:shd w:val="clear" w:color="auto" w:fill="7F7F7F" w:themeFill="text1" w:themeFillTint="80"/>
            <w:vAlign w:val="center"/>
          </w:tcPr>
          <w:p w14:paraId="5D781B8A" w14:textId="77777777" w:rsidR="00977222" w:rsidRPr="00595714" w:rsidRDefault="00977222" w:rsidP="00530121">
            <w:pPr>
              <w:jc w:val="center"/>
              <w:rPr>
                <w:rFonts w:cs="Arial"/>
                <w:b/>
                <w:color w:val="FFFFFF" w:themeColor="background1"/>
                <w:sz w:val="20"/>
                <w:szCs w:val="20"/>
              </w:rPr>
            </w:pPr>
            <w:r w:rsidRPr="00595714">
              <w:rPr>
                <w:rFonts w:cs="Arial"/>
                <w:b/>
                <w:color w:val="FFFFFF" w:themeColor="background1"/>
                <w:sz w:val="20"/>
                <w:szCs w:val="20"/>
              </w:rPr>
              <w:t>Non-GM counterpart</w:t>
            </w:r>
          </w:p>
        </w:tc>
        <w:tc>
          <w:tcPr>
            <w:tcW w:w="1340" w:type="dxa"/>
            <w:shd w:val="clear" w:color="auto" w:fill="7F7F7F" w:themeFill="text1" w:themeFillTint="80"/>
            <w:vAlign w:val="center"/>
          </w:tcPr>
          <w:p w14:paraId="63C56AAD" w14:textId="09529E95" w:rsidR="00977222" w:rsidRPr="00595714" w:rsidRDefault="00B53A1F" w:rsidP="00530121">
            <w:pPr>
              <w:jc w:val="center"/>
              <w:rPr>
                <w:rFonts w:cs="Arial"/>
                <w:b/>
                <w:color w:val="FFFFFF" w:themeColor="background1"/>
                <w:sz w:val="20"/>
                <w:szCs w:val="20"/>
              </w:rPr>
            </w:pPr>
            <w:r w:rsidRPr="00595714">
              <w:rPr>
                <w:rFonts w:cs="Arial"/>
                <w:b/>
                <w:color w:val="FFFFFF" w:themeColor="background1"/>
                <w:sz w:val="20"/>
                <w:szCs w:val="20"/>
              </w:rPr>
              <w:t>GMB151</w:t>
            </w:r>
            <w:r w:rsidR="00977222" w:rsidRPr="00595714">
              <w:rPr>
                <w:rFonts w:cs="Arial"/>
                <w:b/>
                <w:color w:val="FFFFFF" w:themeColor="background1"/>
                <w:sz w:val="20"/>
                <w:szCs w:val="20"/>
              </w:rPr>
              <w:t xml:space="preserve"> untreated</w:t>
            </w:r>
          </w:p>
        </w:tc>
        <w:tc>
          <w:tcPr>
            <w:tcW w:w="1340" w:type="dxa"/>
            <w:shd w:val="clear" w:color="auto" w:fill="7F7F7F" w:themeFill="text1" w:themeFillTint="80"/>
            <w:vAlign w:val="center"/>
          </w:tcPr>
          <w:p w14:paraId="279A5E1E" w14:textId="5C1568DC" w:rsidR="00977222" w:rsidRPr="00595714" w:rsidRDefault="00B53A1F" w:rsidP="00530121">
            <w:pPr>
              <w:jc w:val="center"/>
              <w:rPr>
                <w:rFonts w:cs="Arial"/>
                <w:b/>
                <w:color w:val="FFFFFF" w:themeColor="background1"/>
                <w:sz w:val="20"/>
                <w:szCs w:val="20"/>
              </w:rPr>
            </w:pPr>
            <w:r w:rsidRPr="00595714">
              <w:rPr>
                <w:rFonts w:cs="Arial"/>
                <w:b/>
                <w:color w:val="FFFFFF" w:themeColor="background1"/>
                <w:sz w:val="20"/>
                <w:szCs w:val="20"/>
              </w:rPr>
              <w:t>GMB151</w:t>
            </w:r>
            <w:r w:rsidR="00977222" w:rsidRPr="00595714">
              <w:rPr>
                <w:rFonts w:cs="Arial"/>
                <w:b/>
                <w:color w:val="FFFFFF" w:themeColor="background1"/>
                <w:sz w:val="20"/>
                <w:szCs w:val="20"/>
              </w:rPr>
              <w:t xml:space="preserve"> treated</w:t>
            </w:r>
          </w:p>
        </w:tc>
        <w:tc>
          <w:tcPr>
            <w:tcW w:w="1340" w:type="dxa"/>
            <w:shd w:val="clear" w:color="auto" w:fill="7F7F7F" w:themeFill="text1" w:themeFillTint="80"/>
            <w:vAlign w:val="center"/>
          </w:tcPr>
          <w:p w14:paraId="6819749F" w14:textId="77777777" w:rsidR="00977222" w:rsidRPr="00595714" w:rsidRDefault="00977222" w:rsidP="00530121">
            <w:pPr>
              <w:jc w:val="center"/>
              <w:rPr>
                <w:rFonts w:cs="Arial"/>
                <w:b/>
                <w:color w:val="FFFFFF" w:themeColor="background1"/>
                <w:sz w:val="20"/>
                <w:szCs w:val="20"/>
              </w:rPr>
            </w:pPr>
            <w:r w:rsidRPr="00595714">
              <w:rPr>
                <w:rFonts w:cs="Arial"/>
                <w:b/>
                <w:color w:val="FFFFFF" w:themeColor="background1"/>
                <w:sz w:val="20"/>
                <w:szCs w:val="20"/>
              </w:rPr>
              <w:t>Non-GM reference varieties</w:t>
            </w:r>
          </w:p>
        </w:tc>
        <w:tc>
          <w:tcPr>
            <w:tcW w:w="1341" w:type="dxa"/>
            <w:shd w:val="clear" w:color="auto" w:fill="7F7F7F" w:themeFill="text1" w:themeFillTint="80"/>
            <w:vAlign w:val="center"/>
          </w:tcPr>
          <w:p w14:paraId="339BDBCB" w14:textId="77777777" w:rsidR="00977222" w:rsidRPr="00595714" w:rsidRDefault="00977222" w:rsidP="00530121">
            <w:pPr>
              <w:jc w:val="center"/>
              <w:rPr>
                <w:rFonts w:cs="Arial"/>
                <w:b/>
                <w:color w:val="FFFFFF" w:themeColor="background1"/>
                <w:sz w:val="20"/>
                <w:szCs w:val="20"/>
              </w:rPr>
            </w:pPr>
            <w:r w:rsidRPr="00595714">
              <w:rPr>
                <w:rFonts w:cs="Arial"/>
                <w:b/>
                <w:color w:val="FFFFFF" w:themeColor="background1"/>
                <w:sz w:val="20"/>
                <w:szCs w:val="20"/>
              </w:rPr>
              <w:t>Tolerance Interval</w:t>
            </w:r>
          </w:p>
        </w:tc>
      </w:tr>
      <w:tr w:rsidR="00977222" w14:paraId="1A2DDDB1" w14:textId="77777777" w:rsidTr="00595714">
        <w:trPr>
          <w:trHeight w:val="283"/>
        </w:trPr>
        <w:tc>
          <w:tcPr>
            <w:tcW w:w="2585" w:type="dxa"/>
            <w:vMerge/>
            <w:shd w:val="clear" w:color="auto" w:fill="7F7F7F" w:themeFill="text1" w:themeFillTint="80"/>
          </w:tcPr>
          <w:p w14:paraId="5E3911EB" w14:textId="77777777" w:rsidR="00977222" w:rsidRPr="00595714" w:rsidRDefault="00977222" w:rsidP="006E49E2">
            <w:pPr>
              <w:rPr>
                <w:rFonts w:cs="Arial"/>
                <w:b/>
                <w:color w:val="FFFFFF" w:themeColor="background1"/>
                <w:sz w:val="20"/>
                <w:szCs w:val="20"/>
              </w:rPr>
            </w:pPr>
          </w:p>
        </w:tc>
        <w:tc>
          <w:tcPr>
            <w:tcW w:w="1340" w:type="dxa"/>
            <w:shd w:val="clear" w:color="auto" w:fill="7F7F7F" w:themeFill="text1" w:themeFillTint="80"/>
            <w:vAlign w:val="center"/>
          </w:tcPr>
          <w:p w14:paraId="4E713F42" w14:textId="77777777" w:rsidR="00977222" w:rsidRPr="00595714" w:rsidRDefault="00977222" w:rsidP="00530121">
            <w:pPr>
              <w:jc w:val="center"/>
              <w:rPr>
                <w:rFonts w:cs="Arial"/>
                <w:b/>
                <w:color w:val="FFFFFF" w:themeColor="background1"/>
                <w:sz w:val="20"/>
                <w:szCs w:val="20"/>
              </w:rPr>
            </w:pPr>
            <w:r w:rsidRPr="00595714">
              <w:rPr>
                <w:rFonts w:cs="Arial"/>
                <w:b/>
                <w:color w:val="FFFFFF" w:themeColor="background1"/>
                <w:sz w:val="20"/>
                <w:szCs w:val="20"/>
              </w:rPr>
              <w:t>Mean ± SD</w:t>
            </w:r>
          </w:p>
        </w:tc>
        <w:tc>
          <w:tcPr>
            <w:tcW w:w="1340" w:type="dxa"/>
            <w:shd w:val="clear" w:color="auto" w:fill="7F7F7F" w:themeFill="text1" w:themeFillTint="80"/>
            <w:vAlign w:val="center"/>
          </w:tcPr>
          <w:p w14:paraId="6994AD7A" w14:textId="77777777" w:rsidR="00977222" w:rsidRPr="00595714" w:rsidRDefault="00977222" w:rsidP="00530121">
            <w:pPr>
              <w:jc w:val="center"/>
              <w:rPr>
                <w:rFonts w:cs="Arial"/>
                <w:b/>
                <w:color w:val="FFFFFF" w:themeColor="background1"/>
                <w:sz w:val="20"/>
                <w:szCs w:val="20"/>
              </w:rPr>
            </w:pPr>
            <w:r w:rsidRPr="00595714">
              <w:rPr>
                <w:rFonts w:cs="Arial"/>
                <w:b/>
                <w:color w:val="FFFFFF" w:themeColor="background1"/>
                <w:sz w:val="20"/>
                <w:szCs w:val="20"/>
              </w:rPr>
              <w:t>Mean ± SD</w:t>
            </w:r>
          </w:p>
        </w:tc>
        <w:tc>
          <w:tcPr>
            <w:tcW w:w="1340" w:type="dxa"/>
            <w:shd w:val="clear" w:color="auto" w:fill="7F7F7F" w:themeFill="text1" w:themeFillTint="80"/>
            <w:vAlign w:val="center"/>
          </w:tcPr>
          <w:p w14:paraId="07D00DBF" w14:textId="77777777" w:rsidR="00977222" w:rsidRPr="00595714" w:rsidRDefault="00977222" w:rsidP="00530121">
            <w:pPr>
              <w:jc w:val="center"/>
              <w:rPr>
                <w:rFonts w:cs="Arial"/>
                <w:b/>
                <w:color w:val="FFFFFF" w:themeColor="background1"/>
                <w:sz w:val="20"/>
                <w:szCs w:val="20"/>
              </w:rPr>
            </w:pPr>
            <w:r w:rsidRPr="00595714">
              <w:rPr>
                <w:rFonts w:cs="Arial"/>
                <w:b/>
                <w:color w:val="FFFFFF" w:themeColor="background1"/>
                <w:sz w:val="20"/>
                <w:szCs w:val="20"/>
              </w:rPr>
              <w:t>Mean ± SD</w:t>
            </w:r>
          </w:p>
        </w:tc>
        <w:tc>
          <w:tcPr>
            <w:tcW w:w="1340" w:type="dxa"/>
            <w:shd w:val="clear" w:color="auto" w:fill="7F7F7F" w:themeFill="text1" w:themeFillTint="80"/>
            <w:vAlign w:val="center"/>
          </w:tcPr>
          <w:p w14:paraId="53AC057E" w14:textId="77777777" w:rsidR="00977222" w:rsidRPr="00595714" w:rsidRDefault="00977222" w:rsidP="00530121">
            <w:pPr>
              <w:jc w:val="center"/>
              <w:rPr>
                <w:rFonts w:cs="Arial"/>
                <w:b/>
                <w:color w:val="FFFFFF" w:themeColor="background1"/>
                <w:sz w:val="20"/>
                <w:szCs w:val="20"/>
              </w:rPr>
            </w:pPr>
            <w:r w:rsidRPr="00595714">
              <w:rPr>
                <w:rFonts w:cs="Arial"/>
                <w:b/>
                <w:color w:val="FFFFFF" w:themeColor="background1"/>
                <w:sz w:val="20"/>
                <w:szCs w:val="20"/>
              </w:rPr>
              <w:t>Min-max</w:t>
            </w:r>
          </w:p>
        </w:tc>
        <w:tc>
          <w:tcPr>
            <w:tcW w:w="1341" w:type="dxa"/>
            <w:shd w:val="clear" w:color="auto" w:fill="7F7F7F" w:themeFill="text1" w:themeFillTint="80"/>
            <w:vAlign w:val="center"/>
          </w:tcPr>
          <w:p w14:paraId="095B99F4" w14:textId="77777777" w:rsidR="00977222" w:rsidRPr="00595714" w:rsidRDefault="00977222" w:rsidP="00530121">
            <w:pPr>
              <w:jc w:val="center"/>
              <w:rPr>
                <w:rFonts w:cs="Arial"/>
                <w:b/>
                <w:color w:val="FFFFFF" w:themeColor="background1"/>
                <w:sz w:val="20"/>
                <w:szCs w:val="20"/>
              </w:rPr>
            </w:pPr>
            <w:r w:rsidRPr="00595714">
              <w:rPr>
                <w:rFonts w:cs="Arial"/>
                <w:b/>
                <w:color w:val="FFFFFF" w:themeColor="background1"/>
                <w:sz w:val="20"/>
                <w:szCs w:val="20"/>
              </w:rPr>
              <w:t>lower-upper</w:t>
            </w:r>
          </w:p>
        </w:tc>
      </w:tr>
      <w:tr w:rsidR="00D914A2" w14:paraId="72B121E9" w14:textId="77777777" w:rsidTr="00595714">
        <w:trPr>
          <w:trHeight w:val="340"/>
        </w:trPr>
        <w:tc>
          <w:tcPr>
            <w:tcW w:w="2585" w:type="dxa"/>
            <w:vAlign w:val="center"/>
          </w:tcPr>
          <w:p w14:paraId="6C9E7DAE" w14:textId="4CD7C9D5" w:rsidR="00D914A2" w:rsidRPr="0071258E" w:rsidRDefault="00D914A2" w:rsidP="00D914A2">
            <w:pPr>
              <w:rPr>
                <w:rFonts w:cs="Arial"/>
                <w:color w:val="000000" w:themeColor="text1"/>
                <w:sz w:val="20"/>
                <w:szCs w:val="20"/>
              </w:rPr>
            </w:pPr>
            <w:r w:rsidRPr="0071258E">
              <w:rPr>
                <w:rFonts w:cs="Arial"/>
                <w:sz w:val="20"/>
                <w:szCs w:val="20"/>
              </w:rPr>
              <w:t>C14:0 Myristic Acid</w:t>
            </w:r>
          </w:p>
        </w:tc>
        <w:tc>
          <w:tcPr>
            <w:tcW w:w="1340" w:type="dxa"/>
            <w:vAlign w:val="center"/>
          </w:tcPr>
          <w:p w14:paraId="174866C3" w14:textId="63AC8106" w:rsidR="00D914A2" w:rsidRPr="00530121" w:rsidRDefault="00D914A2" w:rsidP="00D914A2">
            <w:pPr>
              <w:jc w:val="center"/>
              <w:rPr>
                <w:rFonts w:cs="Arial"/>
                <w:color w:val="000000" w:themeColor="text1"/>
                <w:sz w:val="18"/>
                <w:szCs w:val="18"/>
              </w:rPr>
            </w:pPr>
            <w:r>
              <w:rPr>
                <w:sz w:val="18"/>
                <w:szCs w:val="18"/>
              </w:rPr>
              <w:t>0.070</w:t>
            </w:r>
            <w:r w:rsidRPr="00530121">
              <w:rPr>
                <w:sz w:val="18"/>
                <w:szCs w:val="18"/>
              </w:rPr>
              <w:t xml:space="preserve"> ± 0.007</w:t>
            </w:r>
          </w:p>
        </w:tc>
        <w:tc>
          <w:tcPr>
            <w:tcW w:w="1340" w:type="dxa"/>
            <w:shd w:val="clear" w:color="auto" w:fill="auto"/>
            <w:vAlign w:val="center"/>
          </w:tcPr>
          <w:p w14:paraId="4F9B05B4" w14:textId="42F75B2F" w:rsidR="00D914A2" w:rsidRPr="00D914A2" w:rsidRDefault="00D914A2" w:rsidP="00D914A2">
            <w:pPr>
              <w:jc w:val="center"/>
              <w:rPr>
                <w:rFonts w:cs="Arial"/>
                <w:sz w:val="18"/>
                <w:szCs w:val="18"/>
              </w:rPr>
            </w:pPr>
            <w:r w:rsidRPr="00D914A2">
              <w:rPr>
                <w:sz w:val="18"/>
              </w:rPr>
              <w:t>0.069 ± 0.007</w:t>
            </w:r>
          </w:p>
        </w:tc>
        <w:tc>
          <w:tcPr>
            <w:tcW w:w="1340" w:type="dxa"/>
            <w:shd w:val="clear" w:color="auto" w:fill="auto"/>
            <w:vAlign w:val="center"/>
          </w:tcPr>
          <w:p w14:paraId="0936B372" w14:textId="447C763E" w:rsidR="00D914A2" w:rsidRPr="00D914A2" w:rsidRDefault="00D914A2" w:rsidP="00D914A2">
            <w:pPr>
              <w:jc w:val="center"/>
              <w:rPr>
                <w:rFonts w:cs="Arial"/>
                <w:color w:val="000000" w:themeColor="text1"/>
                <w:sz w:val="18"/>
                <w:szCs w:val="18"/>
              </w:rPr>
            </w:pPr>
            <w:r w:rsidRPr="00D914A2">
              <w:rPr>
                <w:sz w:val="18"/>
              </w:rPr>
              <w:t>0.070 ± 0.008</w:t>
            </w:r>
          </w:p>
        </w:tc>
        <w:tc>
          <w:tcPr>
            <w:tcW w:w="1340" w:type="dxa"/>
            <w:shd w:val="clear" w:color="auto" w:fill="auto"/>
            <w:vAlign w:val="center"/>
          </w:tcPr>
          <w:p w14:paraId="128EC2DB" w14:textId="434628C4" w:rsidR="00D914A2" w:rsidRPr="00D914A2" w:rsidRDefault="00D914A2" w:rsidP="00D914A2">
            <w:pPr>
              <w:jc w:val="center"/>
              <w:rPr>
                <w:rFonts w:cs="Arial"/>
                <w:color w:val="000000" w:themeColor="text1"/>
                <w:sz w:val="18"/>
                <w:szCs w:val="18"/>
              </w:rPr>
            </w:pPr>
            <w:r w:rsidRPr="00D914A2">
              <w:rPr>
                <w:sz w:val="18"/>
              </w:rPr>
              <w:t>0.057 - 0.087</w:t>
            </w:r>
          </w:p>
        </w:tc>
        <w:tc>
          <w:tcPr>
            <w:tcW w:w="1341" w:type="dxa"/>
            <w:vAlign w:val="center"/>
          </w:tcPr>
          <w:p w14:paraId="09D60602" w14:textId="46F8FDB4" w:rsidR="00D914A2" w:rsidRPr="00D914A2" w:rsidRDefault="00D914A2" w:rsidP="00D914A2">
            <w:pPr>
              <w:jc w:val="center"/>
              <w:rPr>
                <w:rFonts w:cs="Arial"/>
                <w:color w:val="000000" w:themeColor="text1"/>
                <w:sz w:val="18"/>
                <w:szCs w:val="18"/>
              </w:rPr>
            </w:pPr>
            <w:r w:rsidRPr="00D914A2">
              <w:rPr>
                <w:sz w:val="18"/>
              </w:rPr>
              <w:t>0.052 - 0.0</w:t>
            </w:r>
            <w:r>
              <w:rPr>
                <w:sz w:val="18"/>
              </w:rPr>
              <w:t>90</w:t>
            </w:r>
          </w:p>
        </w:tc>
      </w:tr>
      <w:tr w:rsidR="00D914A2" w14:paraId="587CC218" w14:textId="77777777" w:rsidTr="00595714">
        <w:trPr>
          <w:trHeight w:val="340"/>
        </w:trPr>
        <w:tc>
          <w:tcPr>
            <w:tcW w:w="2585" w:type="dxa"/>
            <w:shd w:val="clear" w:color="auto" w:fill="D9D9D9" w:themeFill="background1" w:themeFillShade="D9"/>
            <w:vAlign w:val="center"/>
          </w:tcPr>
          <w:p w14:paraId="106EE7C6" w14:textId="18C5D902" w:rsidR="00D914A2" w:rsidRPr="0071258E" w:rsidRDefault="00D914A2" w:rsidP="00D914A2">
            <w:pPr>
              <w:rPr>
                <w:rFonts w:cs="Arial"/>
                <w:color w:val="000000" w:themeColor="text1"/>
                <w:sz w:val="20"/>
                <w:szCs w:val="20"/>
              </w:rPr>
            </w:pPr>
            <w:r w:rsidRPr="0071258E">
              <w:rPr>
                <w:rFonts w:cs="Arial"/>
                <w:sz w:val="20"/>
                <w:szCs w:val="20"/>
              </w:rPr>
              <w:t>C16:0 Palmitic Acid</w:t>
            </w:r>
          </w:p>
        </w:tc>
        <w:tc>
          <w:tcPr>
            <w:tcW w:w="1340" w:type="dxa"/>
            <w:shd w:val="clear" w:color="auto" w:fill="D9D9D9" w:themeFill="background1" w:themeFillShade="D9"/>
            <w:vAlign w:val="center"/>
          </w:tcPr>
          <w:p w14:paraId="09BE61C9" w14:textId="6EC622F6" w:rsidR="00D914A2" w:rsidRPr="00530121" w:rsidRDefault="00D914A2" w:rsidP="00D914A2">
            <w:pPr>
              <w:jc w:val="center"/>
              <w:rPr>
                <w:rFonts w:cs="Arial"/>
                <w:color w:val="000000" w:themeColor="text1"/>
                <w:sz w:val="18"/>
                <w:szCs w:val="18"/>
              </w:rPr>
            </w:pPr>
            <w:r w:rsidRPr="00530121">
              <w:rPr>
                <w:sz w:val="18"/>
                <w:szCs w:val="18"/>
              </w:rPr>
              <w:t>11.0 ± 0.24</w:t>
            </w:r>
          </w:p>
        </w:tc>
        <w:tc>
          <w:tcPr>
            <w:tcW w:w="1340" w:type="dxa"/>
            <w:shd w:val="clear" w:color="auto" w:fill="C6D9F1" w:themeFill="text2" w:themeFillTint="33"/>
            <w:vAlign w:val="center"/>
          </w:tcPr>
          <w:p w14:paraId="67BA211A" w14:textId="0BF3AB86" w:rsidR="00D914A2" w:rsidRPr="00D914A2" w:rsidRDefault="00D914A2" w:rsidP="00D914A2">
            <w:pPr>
              <w:jc w:val="center"/>
              <w:rPr>
                <w:rFonts w:cs="Arial"/>
                <w:color w:val="000000" w:themeColor="text1"/>
                <w:sz w:val="18"/>
                <w:szCs w:val="18"/>
              </w:rPr>
            </w:pPr>
            <w:r w:rsidRPr="00D914A2">
              <w:rPr>
                <w:sz w:val="18"/>
              </w:rPr>
              <w:t>10.6 ± 0.27</w:t>
            </w:r>
          </w:p>
        </w:tc>
        <w:tc>
          <w:tcPr>
            <w:tcW w:w="1340" w:type="dxa"/>
            <w:shd w:val="clear" w:color="auto" w:fill="C6D9F1" w:themeFill="text2" w:themeFillTint="33"/>
            <w:vAlign w:val="center"/>
          </w:tcPr>
          <w:p w14:paraId="6A94CE6A" w14:textId="4072AB5C" w:rsidR="00D914A2" w:rsidRPr="00D914A2" w:rsidRDefault="00D914A2" w:rsidP="00D914A2">
            <w:pPr>
              <w:jc w:val="center"/>
              <w:rPr>
                <w:rFonts w:cs="Arial"/>
                <w:color w:val="000000" w:themeColor="text1"/>
                <w:sz w:val="18"/>
                <w:szCs w:val="18"/>
              </w:rPr>
            </w:pPr>
            <w:r w:rsidRPr="00D914A2">
              <w:rPr>
                <w:sz w:val="18"/>
              </w:rPr>
              <w:t>10.7 ± 0.27</w:t>
            </w:r>
          </w:p>
        </w:tc>
        <w:tc>
          <w:tcPr>
            <w:tcW w:w="1340" w:type="dxa"/>
            <w:shd w:val="clear" w:color="auto" w:fill="D9D9D9" w:themeFill="background1" w:themeFillShade="D9"/>
            <w:vAlign w:val="center"/>
          </w:tcPr>
          <w:p w14:paraId="69BFAEE4" w14:textId="7F488C1A" w:rsidR="00D914A2" w:rsidRPr="00D914A2" w:rsidRDefault="00D914A2" w:rsidP="00D914A2">
            <w:pPr>
              <w:jc w:val="center"/>
              <w:rPr>
                <w:rFonts w:cs="Arial"/>
                <w:color w:val="000000" w:themeColor="text1"/>
                <w:sz w:val="18"/>
                <w:szCs w:val="18"/>
              </w:rPr>
            </w:pPr>
            <w:r w:rsidRPr="00D914A2">
              <w:rPr>
                <w:sz w:val="18"/>
              </w:rPr>
              <w:t>10.7 - 12.4</w:t>
            </w:r>
          </w:p>
        </w:tc>
        <w:tc>
          <w:tcPr>
            <w:tcW w:w="1341" w:type="dxa"/>
            <w:shd w:val="clear" w:color="auto" w:fill="D9D9D9" w:themeFill="background1" w:themeFillShade="D9"/>
            <w:vAlign w:val="center"/>
          </w:tcPr>
          <w:p w14:paraId="79A560BA" w14:textId="52A1805A" w:rsidR="00D914A2" w:rsidRPr="00D914A2" w:rsidRDefault="00D914A2" w:rsidP="00D914A2">
            <w:pPr>
              <w:jc w:val="center"/>
              <w:rPr>
                <w:rFonts w:cs="Arial"/>
                <w:color w:val="000000" w:themeColor="text1"/>
                <w:sz w:val="18"/>
                <w:szCs w:val="18"/>
              </w:rPr>
            </w:pPr>
            <w:r w:rsidRPr="00D914A2">
              <w:rPr>
                <w:sz w:val="18"/>
              </w:rPr>
              <w:t>10.2 - 12.8</w:t>
            </w:r>
          </w:p>
        </w:tc>
      </w:tr>
      <w:tr w:rsidR="00D914A2" w14:paraId="41697393" w14:textId="77777777" w:rsidTr="00595714">
        <w:trPr>
          <w:trHeight w:val="340"/>
        </w:trPr>
        <w:tc>
          <w:tcPr>
            <w:tcW w:w="2585" w:type="dxa"/>
            <w:vAlign w:val="center"/>
          </w:tcPr>
          <w:p w14:paraId="452EFCBE" w14:textId="586916EE" w:rsidR="00D914A2" w:rsidRPr="0071258E" w:rsidRDefault="00D914A2" w:rsidP="00D914A2">
            <w:pPr>
              <w:rPr>
                <w:rFonts w:cs="Arial"/>
                <w:color w:val="000000" w:themeColor="text1"/>
                <w:sz w:val="20"/>
                <w:szCs w:val="20"/>
              </w:rPr>
            </w:pPr>
            <w:r w:rsidRPr="0071258E">
              <w:rPr>
                <w:rFonts w:cs="Arial"/>
                <w:sz w:val="20"/>
                <w:szCs w:val="20"/>
              </w:rPr>
              <w:t>C16:1 Palmitoleic Acid</w:t>
            </w:r>
          </w:p>
        </w:tc>
        <w:tc>
          <w:tcPr>
            <w:tcW w:w="1340" w:type="dxa"/>
            <w:vAlign w:val="center"/>
          </w:tcPr>
          <w:p w14:paraId="36A2DFB0" w14:textId="44BCBF11" w:rsidR="00D914A2" w:rsidRPr="00530121" w:rsidRDefault="00D914A2" w:rsidP="00D914A2">
            <w:pPr>
              <w:jc w:val="center"/>
              <w:rPr>
                <w:rFonts w:cs="Arial"/>
                <w:color w:val="000000" w:themeColor="text1"/>
                <w:sz w:val="18"/>
                <w:szCs w:val="18"/>
              </w:rPr>
            </w:pPr>
            <w:r w:rsidRPr="00530121">
              <w:rPr>
                <w:sz w:val="18"/>
                <w:szCs w:val="18"/>
              </w:rPr>
              <w:t>0.083 ± 0.005</w:t>
            </w:r>
          </w:p>
        </w:tc>
        <w:tc>
          <w:tcPr>
            <w:tcW w:w="1340" w:type="dxa"/>
            <w:shd w:val="clear" w:color="auto" w:fill="auto"/>
            <w:vAlign w:val="center"/>
          </w:tcPr>
          <w:p w14:paraId="216C3489" w14:textId="1B1F766F" w:rsidR="00D914A2" w:rsidRPr="00D914A2" w:rsidRDefault="00D914A2" w:rsidP="00D914A2">
            <w:pPr>
              <w:jc w:val="center"/>
              <w:rPr>
                <w:rFonts w:cs="Arial"/>
                <w:color w:val="000000" w:themeColor="text1"/>
                <w:sz w:val="18"/>
                <w:szCs w:val="18"/>
              </w:rPr>
            </w:pPr>
            <w:r w:rsidRPr="00D914A2">
              <w:rPr>
                <w:sz w:val="18"/>
              </w:rPr>
              <w:t>0.081 ± 0.004</w:t>
            </w:r>
          </w:p>
        </w:tc>
        <w:tc>
          <w:tcPr>
            <w:tcW w:w="1340" w:type="dxa"/>
            <w:shd w:val="clear" w:color="auto" w:fill="auto"/>
            <w:vAlign w:val="center"/>
          </w:tcPr>
          <w:p w14:paraId="4F283E31" w14:textId="01DBBAF3" w:rsidR="00D914A2" w:rsidRPr="00D914A2" w:rsidRDefault="00D914A2" w:rsidP="00D914A2">
            <w:pPr>
              <w:jc w:val="center"/>
              <w:rPr>
                <w:rFonts w:cs="Arial"/>
                <w:color w:val="000000" w:themeColor="text1"/>
                <w:sz w:val="18"/>
                <w:szCs w:val="18"/>
              </w:rPr>
            </w:pPr>
            <w:r w:rsidRPr="00D914A2">
              <w:rPr>
                <w:sz w:val="18"/>
              </w:rPr>
              <w:t>0.08</w:t>
            </w:r>
            <w:r>
              <w:rPr>
                <w:sz w:val="18"/>
              </w:rPr>
              <w:t>5</w:t>
            </w:r>
            <w:r w:rsidRPr="00D914A2">
              <w:rPr>
                <w:sz w:val="18"/>
              </w:rPr>
              <w:t xml:space="preserve"> ± 0.00</w:t>
            </w:r>
            <w:r>
              <w:rPr>
                <w:sz w:val="18"/>
              </w:rPr>
              <w:t>5</w:t>
            </w:r>
          </w:p>
        </w:tc>
        <w:tc>
          <w:tcPr>
            <w:tcW w:w="1340" w:type="dxa"/>
            <w:shd w:val="clear" w:color="auto" w:fill="auto"/>
            <w:vAlign w:val="center"/>
          </w:tcPr>
          <w:p w14:paraId="55E6B025" w14:textId="60D6C8D3" w:rsidR="00D914A2" w:rsidRPr="00D914A2" w:rsidRDefault="00D914A2" w:rsidP="00D914A2">
            <w:pPr>
              <w:jc w:val="center"/>
              <w:rPr>
                <w:rFonts w:cs="Arial"/>
                <w:color w:val="000000" w:themeColor="text1"/>
                <w:sz w:val="18"/>
                <w:szCs w:val="18"/>
              </w:rPr>
            </w:pPr>
            <w:r w:rsidRPr="00D914A2">
              <w:rPr>
                <w:sz w:val="18"/>
              </w:rPr>
              <w:t>0.06</w:t>
            </w:r>
            <w:r>
              <w:rPr>
                <w:sz w:val="18"/>
              </w:rPr>
              <w:t>5</w:t>
            </w:r>
            <w:r w:rsidRPr="00D914A2">
              <w:rPr>
                <w:sz w:val="18"/>
              </w:rPr>
              <w:t xml:space="preserve"> - 0.101</w:t>
            </w:r>
          </w:p>
        </w:tc>
        <w:tc>
          <w:tcPr>
            <w:tcW w:w="1341" w:type="dxa"/>
            <w:vAlign w:val="center"/>
          </w:tcPr>
          <w:p w14:paraId="0E006D30" w14:textId="6A00E235" w:rsidR="00D914A2" w:rsidRPr="00D914A2" w:rsidRDefault="00D914A2" w:rsidP="00D914A2">
            <w:pPr>
              <w:jc w:val="center"/>
              <w:rPr>
                <w:rFonts w:cs="Arial"/>
                <w:color w:val="000000" w:themeColor="text1"/>
                <w:sz w:val="18"/>
                <w:szCs w:val="18"/>
              </w:rPr>
            </w:pPr>
            <w:r w:rsidRPr="00D914A2">
              <w:rPr>
                <w:sz w:val="18"/>
              </w:rPr>
              <w:t>0.059 - 0.10</w:t>
            </w:r>
            <w:r>
              <w:rPr>
                <w:sz w:val="18"/>
              </w:rPr>
              <w:t>8</w:t>
            </w:r>
          </w:p>
        </w:tc>
      </w:tr>
      <w:tr w:rsidR="00D914A2" w14:paraId="40270B5F" w14:textId="77777777" w:rsidTr="00595714">
        <w:trPr>
          <w:trHeight w:val="340"/>
        </w:trPr>
        <w:tc>
          <w:tcPr>
            <w:tcW w:w="2585" w:type="dxa"/>
            <w:shd w:val="clear" w:color="auto" w:fill="D9D9D9" w:themeFill="background1" w:themeFillShade="D9"/>
            <w:vAlign w:val="center"/>
          </w:tcPr>
          <w:p w14:paraId="05839D88" w14:textId="59107132" w:rsidR="00D914A2" w:rsidRPr="0071258E" w:rsidRDefault="00D914A2" w:rsidP="00D914A2">
            <w:pPr>
              <w:rPr>
                <w:rFonts w:cs="Arial"/>
                <w:color w:val="000000" w:themeColor="text1"/>
                <w:sz w:val="20"/>
                <w:szCs w:val="20"/>
              </w:rPr>
            </w:pPr>
            <w:r w:rsidRPr="0071258E">
              <w:rPr>
                <w:rFonts w:cs="Arial"/>
                <w:sz w:val="20"/>
                <w:szCs w:val="20"/>
              </w:rPr>
              <w:t>C17:0 Heptadecanoic Acid</w:t>
            </w:r>
          </w:p>
        </w:tc>
        <w:tc>
          <w:tcPr>
            <w:tcW w:w="1340" w:type="dxa"/>
            <w:shd w:val="clear" w:color="auto" w:fill="D9D9D9" w:themeFill="background1" w:themeFillShade="D9"/>
            <w:vAlign w:val="center"/>
          </w:tcPr>
          <w:p w14:paraId="253F16B1" w14:textId="0CC97015" w:rsidR="00D914A2" w:rsidRPr="00530121" w:rsidRDefault="00D914A2" w:rsidP="00D914A2">
            <w:pPr>
              <w:jc w:val="center"/>
              <w:rPr>
                <w:rFonts w:cs="Arial"/>
                <w:color w:val="000000" w:themeColor="text1"/>
                <w:sz w:val="18"/>
                <w:szCs w:val="18"/>
              </w:rPr>
            </w:pPr>
            <w:r w:rsidRPr="00530121">
              <w:rPr>
                <w:sz w:val="18"/>
                <w:szCs w:val="18"/>
              </w:rPr>
              <w:t>0.091 ± 0.005</w:t>
            </w:r>
          </w:p>
        </w:tc>
        <w:tc>
          <w:tcPr>
            <w:tcW w:w="1340" w:type="dxa"/>
            <w:shd w:val="clear" w:color="auto" w:fill="D9D9D9" w:themeFill="background1" w:themeFillShade="D9"/>
            <w:vAlign w:val="center"/>
          </w:tcPr>
          <w:p w14:paraId="00564531" w14:textId="6D11218F" w:rsidR="00D914A2" w:rsidRPr="00D914A2" w:rsidRDefault="00D914A2" w:rsidP="00D914A2">
            <w:pPr>
              <w:jc w:val="center"/>
              <w:rPr>
                <w:rFonts w:cs="Arial"/>
                <w:color w:val="000000" w:themeColor="text1"/>
                <w:sz w:val="18"/>
                <w:szCs w:val="18"/>
              </w:rPr>
            </w:pPr>
            <w:r w:rsidRPr="00D914A2">
              <w:rPr>
                <w:sz w:val="18"/>
              </w:rPr>
              <w:t>0.090 ± 0.007</w:t>
            </w:r>
          </w:p>
        </w:tc>
        <w:tc>
          <w:tcPr>
            <w:tcW w:w="1340" w:type="dxa"/>
            <w:shd w:val="clear" w:color="auto" w:fill="D9D9D9" w:themeFill="background1" w:themeFillShade="D9"/>
            <w:vAlign w:val="center"/>
          </w:tcPr>
          <w:p w14:paraId="08A927D2" w14:textId="19F81229" w:rsidR="00D914A2" w:rsidRPr="00D914A2" w:rsidRDefault="00D914A2" w:rsidP="00D914A2">
            <w:pPr>
              <w:jc w:val="center"/>
              <w:rPr>
                <w:rFonts w:cs="Arial"/>
                <w:color w:val="000000" w:themeColor="text1"/>
                <w:sz w:val="18"/>
                <w:szCs w:val="18"/>
              </w:rPr>
            </w:pPr>
            <w:r w:rsidRPr="00D914A2">
              <w:rPr>
                <w:sz w:val="18"/>
              </w:rPr>
              <w:t>0.090 ± 0.006</w:t>
            </w:r>
          </w:p>
        </w:tc>
        <w:tc>
          <w:tcPr>
            <w:tcW w:w="1340" w:type="dxa"/>
            <w:shd w:val="clear" w:color="auto" w:fill="D9D9D9" w:themeFill="background1" w:themeFillShade="D9"/>
            <w:vAlign w:val="center"/>
          </w:tcPr>
          <w:p w14:paraId="5C694D8C" w14:textId="6569C148" w:rsidR="00D914A2" w:rsidRPr="00D914A2" w:rsidRDefault="00D914A2" w:rsidP="00D914A2">
            <w:pPr>
              <w:jc w:val="center"/>
              <w:rPr>
                <w:rFonts w:cs="Arial"/>
                <w:color w:val="000000" w:themeColor="text1"/>
                <w:sz w:val="18"/>
                <w:szCs w:val="18"/>
              </w:rPr>
            </w:pPr>
            <w:r w:rsidRPr="00D914A2">
              <w:rPr>
                <w:sz w:val="18"/>
              </w:rPr>
              <w:t>0.07</w:t>
            </w:r>
            <w:r>
              <w:rPr>
                <w:sz w:val="18"/>
              </w:rPr>
              <w:t>3</w:t>
            </w:r>
            <w:r w:rsidRPr="00D914A2">
              <w:rPr>
                <w:sz w:val="18"/>
              </w:rPr>
              <w:t xml:space="preserve"> - 0.108</w:t>
            </w:r>
          </w:p>
        </w:tc>
        <w:tc>
          <w:tcPr>
            <w:tcW w:w="1341" w:type="dxa"/>
            <w:shd w:val="clear" w:color="auto" w:fill="D9D9D9" w:themeFill="background1" w:themeFillShade="D9"/>
            <w:vAlign w:val="center"/>
          </w:tcPr>
          <w:p w14:paraId="4ED0ED29" w14:textId="245EAB81" w:rsidR="00D914A2" w:rsidRPr="00D914A2" w:rsidRDefault="00D914A2" w:rsidP="00D914A2">
            <w:pPr>
              <w:jc w:val="center"/>
              <w:rPr>
                <w:rFonts w:cs="Arial"/>
                <w:color w:val="000000" w:themeColor="text1"/>
                <w:sz w:val="18"/>
                <w:szCs w:val="18"/>
              </w:rPr>
            </w:pPr>
            <w:r w:rsidRPr="00D914A2">
              <w:rPr>
                <w:sz w:val="18"/>
              </w:rPr>
              <w:t>0.064 - 0.116</w:t>
            </w:r>
          </w:p>
        </w:tc>
      </w:tr>
      <w:tr w:rsidR="00D914A2" w14:paraId="465DAF84" w14:textId="77777777" w:rsidTr="00595714">
        <w:trPr>
          <w:trHeight w:val="340"/>
        </w:trPr>
        <w:tc>
          <w:tcPr>
            <w:tcW w:w="2585" w:type="dxa"/>
            <w:vAlign w:val="center"/>
          </w:tcPr>
          <w:p w14:paraId="34EC0E4F" w14:textId="46D68601" w:rsidR="00D914A2" w:rsidRPr="0071258E" w:rsidRDefault="00D914A2" w:rsidP="00D914A2">
            <w:pPr>
              <w:rPr>
                <w:rFonts w:cs="Arial"/>
                <w:color w:val="000000" w:themeColor="text1"/>
                <w:sz w:val="20"/>
                <w:szCs w:val="20"/>
              </w:rPr>
            </w:pPr>
            <w:r w:rsidRPr="0071258E">
              <w:rPr>
                <w:rFonts w:cs="Arial"/>
                <w:sz w:val="20"/>
                <w:szCs w:val="20"/>
              </w:rPr>
              <w:t>C17:1 Heptadecenoic Acid</w:t>
            </w:r>
          </w:p>
        </w:tc>
        <w:tc>
          <w:tcPr>
            <w:tcW w:w="1340" w:type="dxa"/>
            <w:vAlign w:val="center"/>
          </w:tcPr>
          <w:p w14:paraId="5EEDBB86" w14:textId="67D07D1C" w:rsidR="00D914A2" w:rsidRPr="00530121" w:rsidRDefault="00D914A2" w:rsidP="00D914A2">
            <w:pPr>
              <w:jc w:val="center"/>
              <w:rPr>
                <w:rFonts w:cs="Arial"/>
                <w:color w:val="000000" w:themeColor="text1"/>
                <w:sz w:val="18"/>
                <w:szCs w:val="18"/>
              </w:rPr>
            </w:pPr>
            <w:r w:rsidRPr="00530121">
              <w:rPr>
                <w:sz w:val="18"/>
                <w:szCs w:val="18"/>
              </w:rPr>
              <w:t>0.06</w:t>
            </w:r>
            <w:r>
              <w:rPr>
                <w:sz w:val="18"/>
                <w:szCs w:val="18"/>
              </w:rPr>
              <w:t>2</w:t>
            </w:r>
            <w:r w:rsidRPr="00530121">
              <w:rPr>
                <w:sz w:val="18"/>
                <w:szCs w:val="18"/>
              </w:rPr>
              <w:t xml:space="preserve"> ± 0.00</w:t>
            </w:r>
            <w:r>
              <w:rPr>
                <w:sz w:val="18"/>
                <w:szCs w:val="18"/>
              </w:rPr>
              <w:t>4</w:t>
            </w:r>
          </w:p>
        </w:tc>
        <w:tc>
          <w:tcPr>
            <w:tcW w:w="1340" w:type="dxa"/>
            <w:shd w:val="clear" w:color="auto" w:fill="C6D9F1" w:themeFill="text2" w:themeFillTint="33"/>
            <w:vAlign w:val="center"/>
          </w:tcPr>
          <w:p w14:paraId="613FE0D0" w14:textId="1454D499" w:rsidR="00D914A2" w:rsidRPr="00D914A2" w:rsidRDefault="00D914A2" w:rsidP="00D914A2">
            <w:pPr>
              <w:jc w:val="center"/>
              <w:rPr>
                <w:rFonts w:cs="Arial"/>
                <w:color w:val="000000" w:themeColor="text1"/>
                <w:sz w:val="18"/>
                <w:szCs w:val="18"/>
              </w:rPr>
            </w:pPr>
            <w:r w:rsidRPr="00D914A2">
              <w:rPr>
                <w:sz w:val="18"/>
              </w:rPr>
              <w:t>0.065 ± 0.004</w:t>
            </w:r>
          </w:p>
        </w:tc>
        <w:tc>
          <w:tcPr>
            <w:tcW w:w="1340" w:type="dxa"/>
            <w:shd w:val="clear" w:color="auto" w:fill="C6D9F1" w:themeFill="text2" w:themeFillTint="33"/>
            <w:vAlign w:val="center"/>
          </w:tcPr>
          <w:p w14:paraId="6AA0834C" w14:textId="4DDB49F1" w:rsidR="00D914A2" w:rsidRPr="00D914A2" w:rsidRDefault="00D914A2" w:rsidP="00D914A2">
            <w:pPr>
              <w:jc w:val="center"/>
              <w:rPr>
                <w:rFonts w:cs="Arial"/>
                <w:color w:val="000000" w:themeColor="text1"/>
                <w:sz w:val="18"/>
                <w:szCs w:val="18"/>
              </w:rPr>
            </w:pPr>
            <w:r w:rsidRPr="00D914A2">
              <w:rPr>
                <w:sz w:val="18"/>
              </w:rPr>
              <w:t>0.065 ± 0.005</w:t>
            </w:r>
          </w:p>
        </w:tc>
        <w:tc>
          <w:tcPr>
            <w:tcW w:w="1340" w:type="dxa"/>
            <w:shd w:val="clear" w:color="auto" w:fill="auto"/>
            <w:vAlign w:val="center"/>
          </w:tcPr>
          <w:p w14:paraId="2AD9DE7E" w14:textId="7DE1FABC" w:rsidR="00D914A2" w:rsidRPr="00D914A2" w:rsidRDefault="00D914A2" w:rsidP="00D914A2">
            <w:pPr>
              <w:jc w:val="center"/>
              <w:rPr>
                <w:rFonts w:cs="Arial"/>
                <w:color w:val="000000" w:themeColor="text1"/>
                <w:sz w:val="18"/>
                <w:szCs w:val="18"/>
              </w:rPr>
            </w:pPr>
            <w:r w:rsidRPr="00D914A2">
              <w:rPr>
                <w:sz w:val="18"/>
              </w:rPr>
              <w:t>0.02</w:t>
            </w:r>
            <w:r>
              <w:rPr>
                <w:sz w:val="18"/>
              </w:rPr>
              <w:t>6</w:t>
            </w:r>
            <w:r w:rsidRPr="00D914A2">
              <w:rPr>
                <w:sz w:val="18"/>
              </w:rPr>
              <w:t xml:space="preserve"> - 0.067</w:t>
            </w:r>
          </w:p>
        </w:tc>
        <w:tc>
          <w:tcPr>
            <w:tcW w:w="1341" w:type="dxa"/>
            <w:vAlign w:val="center"/>
          </w:tcPr>
          <w:p w14:paraId="03394020" w14:textId="26940D9F" w:rsidR="00D914A2" w:rsidRPr="00D914A2" w:rsidRDefault="00D914A2" w:rsidP="00D914A2">
            <w:pPr>
              <w:jc w:val="center"/>
              <w:rPr>
                <w:rFonts w:cs="Arial"/>
                <w:color w:val="000000" w:themeColor="text1"/>
                <w:sz w:val="18"/>
                <w:szCs w:val="18"/>
              </w:rPr>
            </w:pPr>
            <w:r w:rsidRPr="00D914A2">
              <w:rPr>
                <w:sz w:val="18"/>
              </w:rPr>
              <w:t>0.043 - 0.072</w:t>
            </w:r>
          </w:p>
        </w:tc>
      </w:tr>
      <w:tr w:rsidR="00D914A2" w14:paraId="1DF1B92C" w14:textId="77777777" w:rsidTr="00595714">
        <w:trPr>
          <w:trHeight w:val="340"/>
        </w:trPr>
        <w:tc>
          <w:tcPr>
            <w:tcW w:w="2585" w:type="dxa"/>
            <w:shd w:val="clear" w:color="auto" w:fill="D9D9D9" w:themeFill="background1" w:themeFillShade="D9"/>
            <w:vAlign w:val="center"/>
          </w:tcPr>
          <w:p w14:paraId="13233506" w14:textId="088E6459" w:rsidR="00D914A2" w:rsidRPr="0071258E" w:rsidRDefault="00D914A2" w:rsidP="00D914A2">
            <w:pPr>
              <w:rPr>
                <w:rFonts w:cs="Arial"/>
                <w:color w:val="000000" w:themeColor="text1"/>
                <w:sz w:val="20"/>
                <w:szCs w:val="20"/>
              </w:rPr>
            </w:pPr>
            <w:r w:rsidRPr="0071258E">
              <w:rPr>
                <w:rFonts w:cs="Arial"/>
                <w:sz w:val="20"/>
                <w:szCs w:val="20"/>
              </w:rPr>
              <w:t>C18:0 Stearic Acid</w:t>
            </w:r>
          </w:p>
        </w:tc>
        <w:tc>
          <w:tcPr>
            <w:tcW w:w="1340" w:type="dxa"/>
            <w:shd w:val="clear" w:color="auto" w:fill="D9D9D9" w:themeFill="background1" w:themeFillShade="D9"/>
            <w:vAlign w:val="center"/>
          </w:tcPr>
          <w:p w14:paraId="48B5D808" w14:textId="1510105E" w:rsidR="00D914A2" w:rsidRPr="00530121" w:rsidRDefault="00D914A2" w:rsidP="00D914A2">
            <w:pPr>
              <w:jc w:val="center"/>
              <w:rPr>
                <w:rFonts w:cs="Arial"/>
                <w:color w:val="000000" w:themeColor="text1"/>
                <w:sz w:val="18"/>
                <w:szCs w:val="18"/>
              </w:rPr>
            </w:pPr>
            <w:r w:rsidRPr="00530121">
              <w:rPr>
                <w:sz w:val="18"/>
                <w:szCs w:val="18"/>
              </w:rPr>
              <w:t>4.38 ± 0.32</w:t>
            </w:r>
          </w:p>
        </w:tc>
        <w:tc>
          <w:tcPr>
            <w:tcW w:w="1340" w:type="dxa"/>
            <w:shd w:val="clear" w:color="auto" w:fill="D9D9D9" w:themeFill="background1" w:themeFillShade="D9"/>
            <w:vAlign w:val="center"/>
          </w:tcPr>
          <w:p w14:paraId="032D953C" w14:textId="3D8DF33C" w:rsidR="00D914A2" w:rsidRPr="00D914A2" w:rsidRDefault="00D914A2" w:rsidP="00D914A2">
            <w:pPr>
              <w:jc w:val="center"/>
              <w:rPr>
                <w:rFonts w:cs="Arial"/>
                <w:color w:val="000000" w:themeColor="text1"/>
                <w:sz w:val="18"/>
                <w:szCs w:val="18"/>
              </w:rPr>
            </w:pPr>
            <w:r w:rsidRPr="00D914A2">
              <w:rPr>
                <w:sz w:val="18"/>
              </w:rPr>
              <w:t>4.34 ± 0.32</w:t>
            </w:r>
          </w:p>
        </w:tc>
        <w:tc>
          <w:tcPr>
            <w:tcW w:w="1340" w:type="dxa"/>
            <w:shd w:val="clear" w:color="auto" w:fill="D9D9D9" w:themeFill="background1" w:themeFillShade="D9"/>
            <w:vAlign w:val="center"/>
          </w:tcPr>
          <w:p w14:paraId="06C2C89C" w14:textId="68C04D1A" w:rsidR="00D914A2" w:rsidRPr="00D914A2" w:rsidRDefault="00D914A2" w:rsidP="00D914A2">
            <w:pPr>
              <w:jc w:val="center"/>
              <w:rPr>
                <w:rFonts w:cs="Arial"/>
                <w:color w:val="000000" w:themeColor="text1"/>
                <w:sz w:val="18"/>
                <w:szCs w:val="18"/>
              </w:rPr>
            </w:pPr>
            <w:r w:rsidRPr="00D914A2">
              <w:rPr>
                <w:sz w:val="18"/>
              </w:rPr>
              <w:t>4.38 ± 0.34</w:t>
            </w:r>
          </w:p>
        </w:tc>
        <w:tc>
          <w:tcPr>
            <w:tcW w:w="1340" w:type="dxa"/>
            <w:shd w:val="clear" w:color="auto" w:fill="D9D9D9" w:themeFill="background1" w:themeFillShade="D9"/>
            <w:vAlign w:val="center"/>
          </w:tcPr>
          <w:p w14:paraId="7996C9C9" w14:textId="6CEF9F8B" w:rsidR="00D914A2" w:rsidRPr="00D914A2" w:rsidRDefault="00D914A2" w:rsidP="00D914A2">
            <w:pPr>
              <w:jc w:val="center"/>
              <w:rPr>
                <w:rFonts w:cs="Arial"/>
                <w:color w:val="000000" w:themeColor="text1"/>
                <w:sz w:val="18"/>
                <w:szCs w:val="18"/>
              </w:rPr>
            </w:pPr>
            <w:r w:rsidRPr="00D914A2">
              <w:rPr>
                <w:sz w:val="18"/>
              </w:rPr>
              <w:t>3.79 - 5.24</w:t>
            </w:r>
          </w:p>
        </w:tc>
        <w:tc>
          <w:tcPr>
            <w:tcW w:w="1341" w:type="dxa"/>
            <w:shd w:val="clear" w:color="auto" w:fill="D9D9D9" w:themeFill="background1" w:themeFillShade="D9"/>
            <w:vAlign w:val="center"/>
          </w:tcPr>
          <w:p w14:paraId="28C80EEF" w14:textId="218BBAEA" w:rsidR="00D914A2" w:rsidRPr="00D914A2" w:rsidRDefault="00D914A2" w:rsidP="00D914A2">
            <w:pPr>
              <w:jc w:val="center"/>
              <w:rPr>
                <w:rFonts w:cs="Arial"/>
                <w:color w:val="000000" w:themeColor="text1"/>
                <w:sz w:val="18"/>
                <w:szCs w:val="18"/>
              </w:rPr>
            </w:pPr>
            <w:r w:rsidRPr="00D914A2">
              <w:rPr>
                <w:sz w:val="18"/>
              </w:rPr>
              <w:t>3.41 - 5.36</w:t>
            </w:r>
          </w:p>
        </w:tc>
      </w:tr>
      <w:tr w:rsidR="00D914A2" w14:paraId="2619E51E" w14:textId="77777777" w:rsidTr="00595714">
        <w:trPr>
          <w:trHeight w:val="340"/>
        </w:trPr>
        <w:tc>
          <w:tcPr>
            <w:tcW w:w="2585" w:type="dxa"/>
            <w:vAlign w:val="center"/>
          </w:tcPr>
          <w:p w14:paraId="5D59985C" w14:textId="48B6A2AE" w:rsidR="00D914A2" w:rsidRPr="0071258E" w:rsidRDefault="00D914A2" w:rsidP="00D914A2">
            <w:pPr>
              <w:rPr>
                <w:rFonts w:cs="Arial"/>
                <w:color w:val="000000" w:themeColor="text1"/>
                <w:sz w:val="20"/>
                <w:szCs w:val="20"/>
              </w:rPr>
            </w:pPr>
            <w:r w:rsidRPr="0071258E">
              <w:rPr>
                <w:rFonts w:cs="Arial"/>
                <w:sz w:val="20"/>
                <w:szCs w:val="20"/>
              </w:rPr>
              <w:t>C18:1 Oleic Acid</w:t>
            </w:r>
          </w:p>
        </w:tc>
        <w:tc>
          <w:tcPr>
            <w:tcW w:w="1340" w:type="dxa"/>
            <w:vAlign w:val="center"/>
          </w:tcPr>
          <w:p w14:paraId="5136F749" w14:textId="42C944CE" w:rsidR="00D914A2" w:rsidRPr="00530121" w:rsidRDefault="00D914A2" w:rsidP="00D914A2">
            <w:pPr>
              <w:jc w:val="center"/>
              <w:rPr>
                <w:rFonts w:cs="Arial"/>
                <w:color w:val="000000" w:themeColor="text1"/>
                <w:sz w:val="18"/>
                <w:szCs w:val="18"/>
              </w:rPr>
            </w:pPr>
            <w:r w:rsidRPr="00530121">
              <w:rPr>
                <w:sz w:val="18"/>
                <w:szCs w:val="18"/>
              </w:rPr>
              <w:t>21.8 ± 1.37</w:t>
            </w:r>
          </w:p>
        </w:tc>
        <w:tc>
          <w:tcPr>
            <w:tcW w:w="1340" w:type="dxa"/>
            <w:shd w:val="clear" w:color="auto" w:fill="C6D9F1" w:themeFill="text2" w:themeFillTint="33"/>
            <w:vAlign w:val="center"/>
          </w:tcPr>
          <w:p w14:paraId="44B97AA5" w14:textId="09B91A5E" w:rsidR="00D914A2" w:rsidRPr="00D914A2" w:rsidRDefault="00D914A2" w:rsidP="00D914A2">
            <w:pPr>
              <w:jc w:val="center"/>
              <w:rPr>
                <w:rFonts w:cs="Arial"/>
                <w:color w:val="000000" w:themeColor="text1"/>
                <w:sz w:val="18"/>
                <w:szCs w:val="18"/>
              </w:rPr>
            </w:pPr>
            <w:r w:rsidRPr="00D914A2">
              <w:rPr>
                <w:sz w:val="18"/>
              </w:rPr>
              <w:t>23.6 ± 2.39</w:t>
            </w:r>
          </w:p>
        </w:tc>
        <w:tc>
          <w:tcPr>
            <w:tcW w:w="1340" w:type="dxa"/>
            <w:shd w:val="clear" w:color="auto" w:fill="C6D9F1" w:themeFill="text2" w:themeFillTint="33"/>
            <w:vAlign w:val="center"/>
          </w:tcPr>
          <w:p w14:paraId="1AA2DE97" w14:textId="345AC03A" w:rsidR="00D914A2" w:rsidRPr="00D914A2" w:rsidRDefault="00D914A2" w:rsidP="00D914A2">
            <w:pPr>
              <w:jc w:val="center"/>
              <w:rPr>
                <w:rFonts w:cs="Arial"/>
                <w:color w:val="000000" w:themeColor="text1"/>
                <w:sz w:val="18"/>
                <w:szCs w:val="18"/>
              </w:rPr>
            </w:pPr>
            <w:r w:rsidRPr="00D914A2">
              <w:rPr>
                <w:sz w:val="18"/>
              </w:rPr>
              <w:t>23.4 ± 2.05</w:t>
            </w:r>
          </w:p>
        </w:tc>
        <w:tc>
          <w:tcPr>
            <w:tcW w:w="1340" w:type="dxa"/>
            <w:shd w:val="clear" w:color="auto" w:fill="auto"/>
            <w:vAlign w:val="center"/>
          </w:tcPr>
          <w:p w14:paraId="754207BE" w14:textId="3FC89A2C" w:rsidR="00D914A2" w:rsidRPr="00D914A2" w:rsidRDefault="00D914A2" w:rsidP="00D914A2">
            <w:pPr>
              <w:jc w:val="center"/>
              <w:rPr>
                <w:rFonts w:cs="Arial"/>
                <w:color w:val="000000" w:themeColor="text1"/>
                <w:sz w:val="18"/>
                <w:szCs w:val="18"/>
              </w:rPr>
            </w:pPr>
            <w:r w:rsidRPr="00D914A2">
              <w:rPr>
                <w:sz w:val="18"/>
              </w:rPr>
              <w:t>17.2 - 28.0</w:t>
            </w:r>
          </w:p>
        </w:tc>
        <w:tc>
          <w:tcPr>
            <w:tcW w:w="1341" w:type="dxa"/>
            <w:vAlign w:val="center"/>
          </w:tcPr>
          <w:p w14:paraId="012FE968" w14:textId="3826EF49" w:rsidR="00D914A2" w:rsidRPr="00D914A2" w:rsidRDefault="00D914A2" w:rsidP="00D914A2">
            <w:pPr>
              <w:jc w:val="center"/>
              <w:rPr>
                <w:rFonts w:cs="Arial"/>
                <w:color w:val="000000" w:themeColor="text1"/>
                <w:sz w:val="18"/>
                <w:szCs w:val="18"/>
              </w:rPr>
            </w:pPr>
            <w:r w:rsidRPr="00D914A2">
              <w:rPr>
                <w:sz w:val="18"/>
              </w:rPr>
              <w:t>15.3 - 28.8</w:t>
            </w:r>
          </w:p>
        </w:tc>
      </w:tr>
      <w:tr w:rsidR="00D914A2" w14:paraId="54C03806" w14:textId="77777777" w:rsidTr="00595714">
        <w:trPr>
          <w:trHeight w:val="340"/>
        </w:trPr>
        <w:tc>
          <w:tcPr>
            <w:tcW w:w="2585" w:type="dxa"/>
            <w:shd w:val="clear" w:color="auto" w:fill="D9D9D9" w:themeFill="background1" w:themeFillShade="D9"/>
            <w:vAlign w:val="center"/>
          </w:tcPr>
          <w:p w14:paraId="4A777B6D" w14:textId="67295822" w:rsidR="00D914A2" w:rsidRPr="0071258E" w:rsidRDefault="00D914A2" w:rsidP="00D914A2">
            <w:pPr>
              <w:rPr>
                <w:rFonts w:cs="Arial"/>
                <w:color w:val="000000" w:themeColor="text1"/>
                <w:sz w:val="20"/>
                <w:szCs w:val="20"/>
              </w:rPr>
            </w:pPr>
            <w:r w:rsidRPr="0071258E">
              <w:rPr>
                <w:rFonts w:cs="Arial"/>
                <w:sz w:val="20"/>
                <w:szCs w:val="20"/>
              </w:rPr>
              <w:t>C18:2 Linoleic Acid</w:t>
            </w:r>
          </w:p>
        </w:tc>
        <w:tc>
          <w:tcPr>
            <w:tcW w:w="1340" w:type="dxa"/>
            <w:shd w:val="clear" w:color="auto" w:fill="D9D9D9" w:themeFill="background1" w:themeFillShade="D9"/>
            <w:vAlign w:val="center"/>
          </w:tcPr>
          <w:p w14:paraId="64C6ED88" w14:textId="3C678571" w:rsidR="00D914A2" w:rsidRPr="00530121" w:rsidRDefault="00D914A2" w:rsidP="00D914A2">
            <w:pPr>
              <w:jc w:val="center"/>
              <w:rPr>
                <w:rFonts w:cs="Arial"/>
                <w:color w:val="000000" w:themeColor="text1"/>
                <w:sz w:val="18"/>
                <w:szCs w:val="18"/>
              </w:rPr>
            </w:pPr>
            <w:r w:rsidRPr="00530121">
              <w:rPr>
                <w:sz w:val="18"/>
                <w:szCs w:val="18"/>
              </w:rPr>
              <w:t>53.7 ± 1.18</w:t>
            </w:r>
          </w:p>
        </w:tc>
        <w:tc>
          <w:tcPr>
            <w:tcW w:w="1340" w:type="dxa"/>
            <w:shd w:val="clear" w:color="auto" w:fill="C6D9F1" w:themeFill="text2" w:themeFillTint="33"/>
            <w:vAlign w:val="center"/>
          </w:tcPr>
          <w:p w14:paraId="3E937657" w14:textId="1D354C43" w:rsidR="00D914A2" w:rsidRPr="00D914A2" w:rsidRDefault="00D914A2" w:rsidP="00D914A2">
            <w:pPr>
              <w:jc w:val="center"/>
              <w:rPr>
                <w:rFonts w:cs="Arial"/>
                <w:color w:val="000000" w:themeColor="text1"/>
                <w:sz w:val="18"/>
                <w:szCs w:val="18"/>
              </w:rPr>
            </w:pPr>
            <w:r w:rsidRPr="00D914A2">
              <w:rPr>
                <w:sz w:val="18"/>
              </w:rPr>
              <w:t>52.6 ± 1.80</w:t>
            </w:r>
          </w:p>
        </w:tc>
        <w:tc>
          <w:tcPr>
            <w:tcW w:w="1340" w:type="dxa"/>
            <w:shd w:val="clear" w:color="auto" w:fill="C6D9F1" w:themeFill="text2" w:themeFillTint="33"/>
            <w:vAlign w:val="center"/>
          </w:tcPr>
          <w:p w14:paraId="3A2FABB7" w14:textId="188D4C7C" w:rsidR="00D914A2" w:rsidRPr="00D914A2" w:rsidRDefault="00D914A2" w:rsidP="00D914A2">
            <w:pPr>
              <w:jc w:val="center"/>
              <w:rPr>
                <w:rFonts w:cs="Arial"/>
                <w:color w:val="000000" w:themeColor="text1"/>
                <w:sz w:val="18"/>
                <w:szCs w:val="18"/>
              </w:rPr>
            </w:pPr>
            <w:r w:rsidRPr="00D914A2">
              <w:rPr>
                <w:sz w:val="18"/>
              </w:rPr>
              <w:t>52.6 ± 1.51</w:t>
            </w:r>
          </w:p>
        </w:tc>
        <w:tc>
          <w:tcPr>
            <w:tcW w:w="1340" w:type="dxa"/>
            <w:shd w:val="clear" w:color="auto" w:fill="D9D9D9" w:themeFill="background1" w:themeFillShade="D9"/>
            <w:vAlign w:val="center"/>
          </w:tcPr>
          <w:p w14:paraId="51DB6997" w14:textId="0DCF5B6F" w:rsidR="00D914A2" w:rsidRPr="00D914A2" w:rsidRDefault="00D914A2" w:rsidP="00D914A2">
            <w:pPr>
              <w:jc w:val="center"/>
              <w:rPr>
                <w:rFonts w:cs="Arial"/>
                <w:color w:val="000000" w:themeColor="text1"/>
                <w:sz w:val="18"/>
                <w:szCs w:val="18"/>
              </w:rPr>
            </w:pPr>
            <w:r w:rsidRPr="00D914A2">
              <w:rPr>
                <w:sz w:val="18"/>
              </w:rPr>
              <w:t>49.4 - 56.9</w:t>
            </w:r>
          </w:p>
        </w:tc>
        <w:tc>
          <w:tcPr>
            <w:tcW w:w="1341" w:type="dxa"/>
            <w:shd w:val="clear" w:color="auto" w:fill="D9D9D9" w:themeFill="background1" w:themeFillShade="D9"/>
            <w:vAlign w:val="center"/>
          </w:tcPr>
          <w:p w14:paraId="696EA516" w14:textId="11363203" w:rsidR="00D914A2" w:rsidRPr="00D914A2" w:rsidRDefault="00D914A2" w:rsidP="00D914A2">
            <w:pPr>
              <w:jc w:val="center"/>
              <w:rPr>
                <w:rFonts w:cs="Arial"/>
                <w:color w:val="000000" w:themeColor="text1"/>
                <w:sz w:val="18"/>
                <w:szCs w:val="18"/>
              </w:rPr>
            </w:pPr>
            <w:r w:rsidRPr="00D914A2">
              <w:rPr>
                <w:sz w:val="18"/>
              </w:rPr>
              <w:t>47.2 - 58.3</w:t>
            </w:r>
          </w:p>
        </w:tc>
      </w:tr>
      <w:tr w:rsidR="00D914A2" w14:paraId="005E04D1" w14:textId="77777777" w:rsidTr="00595714">
        <w:trPr>
          <w:trHeight w:val="340"/>
        </w:trPr>
        <w:tc>
          <w:tcPr>
            <w:tcW w:w="2585" w:type="dxa"/>
            <w:vAlign w:val="center"/>
          </w:tcPr>
          <w:p w14:paraId="6D3221C2" w14:textId="0DE12431" w:rsidR="00D914A2" w:rsidRPr="0071258E" w:rsidRDefault="00D914A2" w:rsidP="00D914A2">
            <w:pPr>
              <w:rPr>
                <w:rFonts w:cs="Arial"/>
                <w:color w:val="000000" w:themeColor="text1"/>
                <w:sz w:val="20"/>
                <w:szCs w:val="20"/>
              </w:rPr>
            </w:pPr>
            <w:r w:rsidRPr="0071258E">
              <w:rPr>
                <w:rFonts w:cs="Arial"/>
                <w:sz w:val="20"/>
                <w:szCs w:val="20"/>
              </w:rPr>
              <w:t>C18:3 Linolenic Acid</w:t>
            </w:r>
          </w:p>
        </w:tc>
        <w:tc>
          <w:tcPr>
            <w:tcW w:w="1340" w:type="dxa"/>
            <w:vAlign w:val="center"/>
          </w:tcPr>
          <w:p w14:paraId="3745F8AD" w14:textId="73299407" w:rsidR="00D914A2" w:rsidRPr="00530121" w:rsidRDefault="00D914A2" w:rsidP="00D914A2">
            <w:pPr>
              <w:jc w:val="center"/>
              <w:rPr>
                <w:rFonts w:cs="Arial"/>
                <w:color w:val="000000" w:themeColor="text1"/>
                <w:sz w:val="18"/>
                <w:szCs w:val="18"/>
              </w:rPr>
            </w:pPr>
            <w:r w:rsidRPr="00530121">
              <w:rPr>
                <w:sz w:val="18"/>
                <w:szCs w:val="18"/>
              </w:rPr>
              <w:t>7.81 ± 0.43</w:t>
            </w:r>
          </w:p>
        </w:tc>
        <w:tc>
          <w:tcPr>
            <w:tcW w:w="1340" w:type="dxa"/>
            <w:shd w:val="clear" w:color="auto" w:fill="auto"/>
            <w:vAlign w:val="center"/>
          </w:tcPr>
          <w:p w14:paraId="1261DF97" w14:textId="20BB5E17" w:rsidR="00D914A2" w:rsidRPr="00D914A2" w:rsidRDefault="00D914A2" w:rsidP="00D914A2">
            <w:pPr>
              <w:jc w:val="center"/>
              <w:rPr>
                <w:rFonts w:cs="Arial"/>
                <w:color w:val="000000" w:themeColor="text1"/>
                <w:sz w:val="18"/>
                <w:szCs w:val="18"/>
              </w:rPr>
            </w:pPr>
            <w:r w:rsidRPr="00D914A2">
              <w:rPr>
                <w:sz w:val="18"/>
              </w:rPr>
              <w:t>7.49 ± 0.52</w:t>
            </w:r>
          </w:p>
        </w:tc>
        <w:tc>
          <w:tcPr>
            <w:tcW w:w="1340" w:type="dxa"/>
            <w:shd w:val="clear" w:color="auto" w:fill="auto"/>
            <w:vAlign w:val="center"/>
          </w:tcPr>
          <w:p w14:paraId="4FCB560F" w14:textId="7FBBFB99" w:rsidR="00D914A2" w:rsidRPr="00D914A2" w:rsidRDefault="00D914A2" w:rsidP="00D914A2">
            <w:pPr>
              <w:jc w:val="center"/>
              <w:rPr>
                <w:rFonts w:cs="Arial"/>
                <w:color w:val="000000" w:themeColor="text1"/>
                <w:sz w:val="18"/>
                <w:szCs w:val="18"/>
              </w:rPr>
            </w:pPr>
            <w:r w:rsidRPr="00D914A2">
              <w:rPr>
                <w:sz w:val="18"/>
              </w:rPr>
              <w:t>7.52 ± 0.51</w:t>
            </w:r>
          </w:p>
        </w:tc>
        <w:tc>
          <w:tcPr>
            <w:tcW w:w="1340" w:type="dxa"/>
            <w:shd w:val="clear" w:color="auto" w:fill="auto"/>
            <w:vAlign w:val="center"/>
          </w:tcPr>
          <w:p w14:paraId="46B14BC0" w14:textId="66F375CE" w:rsidR="00D914A2" w:rsidRPr="00D914A2" w:rsidRDefault="00D914A2" w:rsidP="00D914A2">
            <w:pPr>
              <w:jc w:val="center"/>
              <w:rPr>
                <w:rFonts w:cs="Arial"/>
                <w:color w:val="000000" w:themeColor="text1"/>
                <w:sz w:val="18"/>
                <w:szCs w:val="18"/>
              </w:rPr>
            </w:pPr>
            <w:r w:rsidRPr="00D914A2">
              <w:rPr>
                <w:sz w:val="18"/>
              </w:rPr>
              <w:t>6.26 - 10.40</w:t>
            </w:r>
          </w:p>
        </w:tc>
        <w:tc>
          <w:tcPr>
            <w:tcW w:w="1341" w:type="dxa"/>
            <w:vAlign w:val="center"/>
          </w:tcPr>
          <w:p w14:paraId="1AB3D779" w14:textId="2C63DB4F" w:rsidR="00D914A2" w:rsidRPr="00D914A2" w:rsidRDefault="00D914A2" w:rsidP="00D914A2">
            <w:pPr>
              <w:jc w:val="center"/>
              <w:rPr>
                <w:rFonts w:cs="Arial"/>
                <w:color w:val="000000" w:themeColor="text1"/>
                <w:sz w:val="18"/>
                <w:szCs w:val="18"/>
              </w:rPr>
            </w:pPr>
            <w:r w:rsidRPr="00D914A2">
              <w:rPr>
                <w:sz w:val="18"/>
              </w:rPr>
              <w:t>5.00 - 10.98</w:t>
            </w:r>
          </w:p>
        </w:tc>
      </w:tr>
    </w:tbl>
    <w:p w14:paraId="78CC0810" w14:textId="4ADC8ADC" w:rsidR="005D1D67" w:rsidRDefault="005D1D67"/>
    <w:p w14:paraId="09C7F94F" w14:textId="333DA32E" w:rsidR="005D1D67" w:rsidRDefault="005D1D67"/>
    <w:p w14:paraId="5EA9F09A" w14:textId="4F057DC4" w:rsidR="005D1D67" w:rsidRDefault="005D1D67"/>
    <w:p w14:paraId="20B6B9CC" w14:textId="77777777" w:rsidR="005D1D67" w:rsidRDefault="005D1D67"/>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2"/>
        <w:tblDescription w:val="Comparison of fatty acids"/>
      </w:tblPr>
      <w:tblGrid>
        <w:gridCol w:w="2585"/>
        <w:gridCol w:w="1340"/>
        <w:gridCol w:w="1340"/>
        <w:gridCol w:w="1340"/>
        <w:gridCol w:w="1340"/>
        <w:gridCol w:w="1341"/>
      </w:tblGrid>
      <w:tr w:rsidR="005D1D67" w14:paraId="68CCDEA4" w14:textId="77777777" w:rsidTr="005D1D67">
        <w:trPr>
          <w:trHeight w:val="340"/>
        </w:trPr>
        <w:tc>
          <w:tcPr>
            <w:tcW w:w="2585" w:type="dxa"/>
            <w:shd w:val="clear" w:color="auto" w:fill="7F7F7F" w:themeFill="text1" w:themeFillTint="80"/>
            <w:vAlign w:val="center"/>
          </w:tcPr>
          <w:p w14:paraId="2CB12BE9" w14:textId="7C6B1FD5" w:rsidR="005D1D67" w:rsidRDefault="005D1D67" w:rsidP="005D1D67">
            <w:pPr>
              <w:rPr>
                <w:rFonts w:cs="Arial"/>
                <w:sz w:val="20"/>
                <w:szCs w:val="20"/>
              </w:rPr>
            </w:pPr>
            <w:r w:rsidRPr="00595714">
              <w:rPr>
                <w:rFonts w:cs="Arial"/>
                <w:b/>
                <w:color w:val="FFFFFF" w:themeColor="background1"/>
                <w:sz w:val="20"/>
                <w:szCs w:val="20"/>
              </w:rPr>
              <w:t>Parameter</w:t>
            </w:r>
          </w:p>
        </w:tc>
        <w:tc>
          <w:tcPr>
            <w:tcW w:w="1340" w:type="dxa"/>
            <w:shd w:val="clear" w:color="auto" w:fill="7F7F7F" w:themeFill="text1" w:themeFillTint="80"/>
            <w:vAlign w:val="center"/>
          </w:tcPr>
          <w:p w14:paraId="23EE644F" w14:textId="1DB6E0DE" w:rsidR="005D1D67" w:rsidRPr="00530121" w:rsidRDefault="005D1D67" w:rsidP="005D1D67">
            <w:pPr>
              <w:jc w:val="center"/>
              <w:rPr>
                <w:sz w:val="18"/>
                <w:szCs w:val="18"/>
              </w:rPr>
            </w:pPr>
            <w:r w:rsidRPr="00595714">
              <w:rPr>
                <w:rFonts w:cs="Arial"/>
                <w:b/>
                <w:color w:val="FFFFFF" w:themeColor="background1"/>
                <w:sz w:val="20"/>
                <w:szCs w:val="20"/>
              </w:rPr>
              <w:t>Non-GM counterpart</w:t>
            </w:r>
          </w:p>
        </w:tc>
        <w:tc>
          <w:tcPr>
            <w:tcW w:w="1340" w:type="dxa"/>
            <w:shd w:val="clear" w:color="auto" w:fill="7F7F7F" w:themeFill="text1" w:themeFillTint="80"/>
            <w:vAlign w:val="center"/>
          </w:tcPr>
          <w:p w14:paraId="0B8AFC4D" w14:textId="0BDD5761" w:rsidR="005D1D67" w:rsidRPr="00D914A2" w:rsidRDefault="005D1D67" w:rsidP="005D1D67">
            <w:pPr>
              <w:jc w:val="center"/>
              <w:rPr>
                <w:sz w:val="18"/>
              </w:rPr>
            </w:pPr>
            <w:r w:rsidRPr="00595714">
              <w:rPr>
                <w:rFonts w:cs="Arial"/>
                <w:b/>
                <w:color w:val="FFFFFF" w:themeColor="background1"/>
                <w:sz w:val="20"/>
                <w:szCs w:val="20"/>
              </w:rPr>
              <w:t>GMB151 untreated</w:t>
            </w:r>
          </w:p>
        </w:tc>
        <w:tc>
          <w:tcPr>
            <w:tcW w:w="1340" w:type="dxa"/>
            <w:shd w:val="clear" w:color="auto" w:fill="7F7F7F" w:themeFill="text1" w:themeFillTint="80"/>
            <w:vAlign w:val="center"/>
          </w:tcPr>
          <w:p w14:paraId="6DFDC207" w14:textId="456DD697" w:rsidR="005D1D67" w:rsidRPr="00D914A2" w:rsidRDefault="005D1D67" w:rsidP="005D1D67">
            <w:pPr>
              <w:jc w:val="center"/>
              <w:rPr>
                <w:sz w:val="18"/>
              </w:rPr>
            </w:pPr>
            <w:r w:rsidRPr="00595714">
              <w:rPr>
                <w:rFonts w:cs="Arial"/>
                <w:b/>
                <w:color w:val="FFFFFF" w:themeColor="background1"/>
                <w:sz w:val="20"/>
                <w:szCs w:val="20"/>
              </w:rPr>
              <w:t>GMB151 treated</w:t>
            </w:r>
          </w:p>
        </w:tc>
        <w:tc>
          <w:tcPr>
            <w:tcW w:w="1340" w:type="dxa"/>
            <w:shd w:val="clear" w:color="auto" w:fill="7F7F7F" w:themeFill="text1" w:themeFillTint="80"/>
            <w:vAlign w:val="center"/>
          </w:tcPr>
          <w:p w14:paraId="3B097F41" w14:textId="21CE3B18" w:rsidR="005D1D67" w:rsidRPr="00D914A2" w:rsidRDefault="005D1D67" w:rsidP="005D1D67">
            <w:pPr>
              <w:jc w:val="center"/>
              <w:rPr>
                <w:sz w:val="18"/>
              </w:rPr>
            </w:pPr>
            <w:r w:rsidRPr="00595714">
              <w:rPr>
                <w:rFonts w:cs="Arial"/>
                <w:b/>
                <w:color w:val="FFFFFF" w:themeColor="background1"/>
                <w:sz w:val="20"/>
                <w:szCs w:val="20"/>
              </w:rPr>
              <w:t>Non-GM reference varieties</w:t>
            </w:r>
          </w:p>
        </w:tc>
        <w:tc>
          <w:tcPr>
            <w:tcW w:w="1341" w:type="dxa"/>
            <w:shd w:val="clear" w:color="auto" w:fill="7F7F7F" w:themeFill="text1" w:themeFillTint="80"/>
            <w:vAlign w:val="center"/>
          </w:tcPr>
          <w:p w14:paraId="7663AC10" w14:textId="50843ED4" w:rsidR="005D1D67" w:rsidRDefault="005D1D67" w:rsidP="005D1D67">
            <w:pPr>
              <w:jc w:val="center"/>
              <w:rPr>
                <w:sz w:val="18"/>
              </w:rPr>
            </w:pPr>
            <w:r w:rsidRPr="00595714">
              <w:rPr>
                <w:rFonts w:cs="Arial"/>
                <w:b/>
                <w:color w:val="FFFFFF" w:themeColor="background1"/>
                <w:sz w:val="20"/>
                <w:szCs w:val="20"/>
              </w:rPr>
              <w:t>Tolerance Interval</w:t>
            </w:r>
          </w:p>
        </w:tc>
      </w:tr>
      <w:tr w:rsidR="005D1D67" w14:paraId="58ABA473" w14:textId="77777777" w:rsidTr="005D1D67">
        <w:trPr>
          <w:trHeight w:val="340"/>
        </w:trPr>
        <w:tc>
          <w:tcPr>
            <w:tcW w:w="2585" w:type="dxa"/>
            <w:shd w:val="clear" w:color="auto" w:fill="7F7F7F" w:themeFill="text1" w:themeFillTint="80"/>
          </w:tcPr>
          <w:p w14:paraId="74048798" w14:textId="4BB09656" w:rsidR="005D1D67" w:rsidRPr="0071258E" w:rsidRDefault="005D1D67" w:rsidP="005D1D67">
            <w:pPr>
              <w:rPr>
                <w:rFonts w:cs="Arial"/>
                <w:sz w:val="20"/>
                <w:szCs w:val="20"/>
              </w:rPr>
            </w:pPr>
          </w:p>
        </w:tc>
        <w:tc>
          <w:tcPr>
            <w:tcW w:w="1340" w:type="dxa"/>
            <w:shd w:val="clear" w:color="auto" w:fill="7F7F7F" w:themeFill="text1" w:themeFillTint="80"/>
            <w:vAlign w:val="center"/>
          </w:tcPr>
          <w:p w14:paraId="6CD2D26B" w14:textId="17BF6DA5" w:rsidR="005D1D67" w:rsidRPr="00530121" w:rsidRDefault="005D1D67" w:rsidP="005D1D67">
            <w:pPr>
              <w:jc w:val="center"/>
              <w:rPr>
                <w:sz w:val="18"/>
                <w:szCs w:val="18"/>
              </w:rPr>
            </w:pPr>
            <w:r w:rsidRPr="00595714">
              <w:rPr>
                <w:rFonts w:cs="Arial"/>
                <w:b/>
                <w:color w:val="FFFFFF" w:themeColor="background1"/>
                <w:sz w:val="20"/>
                <w:szCs w:val="20"/>
              </w:rPr>
              <w:t>Mean ± SD</w:t>
            </w:r>
          </w:p>
        </w:tc>
        <w:tc>
          <w:tcPr>
            <w:tcW w:w="1340" w:type="dxa"/>
            <w:shd w:val="clear" w:color="auto" w:fill="7F7F7F" w:themeFill="text1" w:themeFillTint="80"/>
            <w:vAlign w:val="center"/>
          </w:tcPr>
          <w:p w14:paraId="6EDF4AFB" w14:textId="25DE01B3" w:rsidR="005D1D67" w:rsidRPr="00D914A2" w:rsidRDefault="005D1D67" w:rsidP="005D1D67">
            <w:pPr>
              <w:jc w:val="center"/>
              <w:rPr>
                <w:sz w:val="18"/>
              </w:rPr>
            </w:pPr>
            <w:r w:rsidRPr="00595714">
              <w:rPr>
                <w:rFonts w:cs="Arial"/>
                <w:b/>
                <w:color w:val="FFFFFF" w:themeColor="background1"/>
                <w:sz w:val="20"/>
                <w:szCs w:val="20"/>
              </w:rPr>
              <w:t>Mean ± SD</w:t>
            </w:r>
          </w:p>
        </w:tc>
        <w:tc>
          <w:tcPr>
            <w:tcW w:w="1340" w:type="dxa"/>
            <w:shd w:val="clear" w:color="auto" w:fill="7F7F7F" w:themeFill="text1" w:themeFillTint="80"/>
            <w:vAlign w:val="center"/>
          </w:tcPr>
          <w:p w14:paraId="074C5F9F" w14:textId="50F3F0B1" w:rsidR="005D1D67" w:rsidRPr="00D914A2" w:rsidRDefault="005D1D67" w:rsidP="005D1D67">
            <w:pPr>
              <w:jc w:val="center"/>
              <w:rPr>
                <w:sz w:val="18"/>
              </w:rPr>
            </w:pPr>
            <w:r w:rsidRPr="00595714">
              <w:rPr>
                <w:rFonts w:cs="Arial"/>
                <w:b/>
                <w:color w:val="FFFFFF" w:themeColor="background1"/>
                <w:sz w:val="20"/>
                <w:szCs w:val="20"/>
              </w:rPr>
              <w:t>Mean ± SD</w:t>
            </w:r>
          </w:p>
        </w:tc>
        <w:tc>
          <w:tcPr>
            <w:tcW w:w="1340" w:type="dxa"/>
            <w:shd w:val="clear" w:color="auto" w:fill="7F7F7F" w:themeFill="text1" w:themeFillTint="80"/>
            <w:vAlign w:val="center"/>
          </w:tcPr>
          <w:p w14:paraId="17FD018C" w14:textId="396586C6" w:rsidR="005D1D67" w:rsidRPr="00D914A2" w:rsidRDefault="005D1D67" w:rsidP="005D1D67">
            <w:pPr>
              <w:jc w:val="center"/>
              <w:rPr>
                <w:sz w:val="18"/>
              </w:rPr>
            </w:pPr>
            <w:r w:rsidRPr="00595714">
              <w:rPr>
                <w:rFonts w:cs="Arial"/>
                <w:b/>
                <w:color w:val="FFFFFF" w:themeColor="background1"/>
                <w:sz w:val="20"/>
                <w:szCs w:val="20"/>
              </w:rPr>
              <w:t>Min-max</w:t>
            </w:r>
          </w:p>
        </w:tc>
        <w:tc>
          <w:tcPr>
            <w:tcW w:w="1341" w:type="dxa"/>
            <w:shd w:val="clear" w:color="auto" w:fill="7F7F7F" w:themeFill="text1" w:themeFillTint="80"/>
            <w:vAlign w:val="center"/>
          </w:tcPr>
          <w:p w14:paraId="603126D5" w14:textId="1618ACF9" w:rsidR="005D1D67" w:rsidRPr="00D914A2" w:rsidRDefault="005D1D67" w:rsidP="005D1D67">
            <w:pPr>
              <w:jc w:val="center"/>
              <w:rPr>
                <w:sz w:val="18"/>
              </w:rPr>
            </w:pPr>
            <w:r w:rsidRPr="00595714">
              <w:rPr>
                <w:rFonts w:cs="Arial"/>
                <w:b/>
                <w:color w:val="FFFFFF" w:themeColor="background1"/>
                <w:sz w:val="20"/>
                <w:szCs w:val="20"/>
              </w:rPr>
              <w:t>lower-upper</w:t>
            </w:r>
          </w:p>
        </w:tc>
      </w:tr>
      <w:tr w:rsidR="00D914A2" w14:paraId="16A62943" w14:textId="77777777" w:rsidTr="00595714">
        <w:trPr>
          <w:trHeight w:val="340"/>
        </w:trPr>
        <w:tc>
          <w:tcPr>
            <w:tcW w:w="2585" w:type="dxa"/>
            <w:shd w:val="clear" w:color="auto" w:fill="D9D9D9" w:themeFill="background1" w:themeFillShade="D9"/>
            <w:vAlign w:val="center"/>
          </w:tcPr>
          <w:p w14:paraId="31EB80D2" w14:textId="139B8785" w:rsidR="00D914A2" w:rsidRPr="0071258E" w:rsidRDefault="00D914A2" w:rsidP="00D914A2">
            <w:pPr>
              <w:rPr>
                <w:rFonts w:cs="Arial"/>
                <w:color w:val="000000" w:themeColor="text1"/>
                <w:sz w:val="20"/>
                <w:szCs w:val="20"/>
              </w:rPr>
            </w:pPr>
            <w:r w:rsidRPr="0071258E">
              <w:rPr>
                <w:rFonts w:cs="Arial"/>
                <w:sz w:val="20"/>
                <w:szCs w:val="20"/>
              </w:rPr>
              <w:t>C20:0 Arachidic Acid</w:t>
            </w:r>
          </w:p>
        </w:tc>
        <w:tc>
          <w:tcPr>
            <w:tcW w:w="1340" w:type="dxa"/>
            <w:shd w:val="clear" w:color="auto" w:fill="D9D9D9" w:themeFill="background1" w:themeFillShade="D9"/>
            <w:vAlign w:val="center"/>
          </w:tcPr>
          <w:p w14:paraId="32B9C94A" w14:textId="06F67D8F" w:rsidR="00D914A2" w:rsidRPr="00530121" w:rsidRDefault="00D914A2" w:rsidP="00D914A2">
            <w:pPr>
              <w:jc w:val="center"/>
              <w:rPr>
                <w:rFonts w:cs="Arial"/>
                <w:color w:val="000000" w:themeColor="text1"/>
                <w:sz w:val="18"/>
                <w:szCs w:val="18"/>
              </w:rPr>
            </w:pPr>
            <w:r w:rsidRPr="00530121">
              <w:rPr>
                <w:sz w:val="18"/>
                <w:szCs w:val="18"/>
              </w:rPr>
              <w:t>0.315 ± 0.018</w:t>
            </w:r>
          </w:p>
        </w:tc>
        <w:tc>
          <w:tcPr>
            <w:tcW w:w="1340" w:type="dxa"/>
            <w:shd w:val="clear" w:color="auto" w:fill="D9D9D9" w:themeFill="background1" w:themeFillShade="D9"/>
            <w:vAlign w:val="center"/>
          </w:tcPr>
          <w:p w14:paraId="1C6BEB4F" w14:textId="0CBD2054" w:rsidR="00D914A2" w:rsidRPr="00D914A2" w:rsidRDefault="00D914A2" w:rsidP="00D914A2">
            <w:pPr>
              <w:jc w:val="center"/>
              <w:rPr>
                <w:rFonts w:cs="Arial"/>
                <w:color w:val="000000" w:themeColor="text1"/>
                <w:sz w:val="18"/>
                <w:szCs w:val="18"/>
              </w:rPr>
            </w:pPr>
            <w:r w:rsidRPr="00D914A2">
              <w:rPr>
                <w:sz w:val="18"/>
              </w:rPr>
              <w:t>0.320 ± 0.015</w:t>
            </w:r>
          </w:p>
        </w:tc>
        <w:tc>
          <w:tcPr>
            <w:tcW w:w="1340" w:type="dxa"/>
            <w:shd w:val="clear" w:color="auto" w:fill="D9D9D9" w:themeFill="background1" w:themeFillShade="D9"/>
            <w:vAlign w:val="center"/>
          </w:tcPr>
          <w:p w14:paraId="732EFDDA" w14:textId="79089318" w:rsidR="00D914A2" w:rsidRPr="00D914A2" w:rsidRDefault="00D914A2" w:rsidP="00D914A2">
            <w:pPr>
              <w:jc w:val="center"/>
              <w:rPr>
                <w:rFonts w:cs="Arial"/>
                <w:color w:val="000000" w:themeColor="text1"/>
                <w:sz w:val="18"/>
                <w:szCs w:val="18"/>
              </w:rPr>
            </w:pPr>
            <w:r w:rsidRPr="00D914A2">
              <w:rPr>
                <w:sz w:val="18"/>
              </w:rPr>
              <w:t>0.32</w:t>
            </w:r>
            <w:r>
              <w:rPr>
                <w:sz w:val="18"/>
              </w:rPr>
              <w:t>4</w:t>
            </w:r>
            <w:r w:rsidRPr="00D914A2">
              <w:rPr>
                <w:sz w:val="18"/>
              </w:rPr>
              <w:t xml:space="preserve"> ± 0.01</w:t>
            </w:r>
            <w:r>
              <w:rPr>
                <w:sz w:val="18"/>
              </w:rPr>
              <w:t>9</w:t>
            </w:r>
          </w:p>
        </w:tc>
        <w:tc>
          <w:tcPr>
            <w:tcW w:w="1340" w:type="dxa"/>
            <w:shd w:val="clear" w:color="auto" w:fill="D9D9D9" w:themeFill="background1" w:themeFillShade="D9"/>
            <w:vAlign w:val="center"/>
          </w:tcPr>
          <w:p w14:paraId="6CCD9153" w14:textId="28385A82" w:rsidR="00D914A2" w:rsidRPr="00D914A2" w:rsidRDefault="00D914A2" w:rsidP="00D914A2">
            <w:pPr>
              <w:jc w:val="center"/>
              <w:rPr>
                <w:rFonts w:cs="Arial"/>
                <w:color w:val="000000" w:themeColor="text1"/>
                <w:sz w:val="18"/>
                <w:szCs w:val="18"/>
              </w:rPr>
            </w:pPr>
            <w:r w:rsidRPr="00D914A2">
              <w:rPr>
                <w:sz w:val="18"/>
              </w:rPr>
              <w:t>0.</w:t>
            </w:r>
            <w:r>
              <w:rPr>
                <w:sz w:val="18"/>
              </w:rPr>
              <w:t>277</w:t>
            </w:r>
            <w:r w:rsidRPr="00D914A2">
              <w:rPr>
                <w:sz w:val="18"/>
              </w:rPr>
              <w:t xml:space="preserve"> </w:t>
            </w:r>
            <w:r>
              <w:rPr>
                <w:sz w:val="18"/>
              </w:rPr>
              <w:t>-</w:t>
            </w:r>
            <w:r w:rsidRPr="00D914A2">
              <w:rPr>
                <w:sz w:val="18"/>
              </w:rPr>
              <w:t xml:space="preserve"> 0.</w:t>
            </w:r>
            <w:r>
              <w:rPr>
                <w:sz w:val="18"/>
              </w:rPr>
              <w:t>393</w:t>
            </w:r>
          </w:p>
        </w:tc>
        <w:tc>
          <w:tcPr>
            <w:tcW w:w="1341" w:type="dxa"/>
            <w:shd w:val="clear" w:color="auto" w:fill="D9D9D9" w:themeFill="background1" w:themeFillShade="D9"/>
            <w:vAlign w:val="center"/>
          </w:tcPr>
          <w:p w14:paraId="254D042E" w14:textId="0770FB32" w:rsidR="00D914A2" w:rsidRPr="00D914A2" w:rsidRDefault="00D914A2" w:rsidP="00D914A2">
            <w:pPr>
              <w:jc w:val="center"/>
              <w:rPr>
                <w:rFonts w:cs="Arial"/>
                <w:color w:val="000000" w:themeColor="text1"/>
                <w:sz w:val="18"/>
                <w:szCs w:val="18"/>
              </w:rPr>
            </w:pPr>
            <w:r w:rsidRPr="00D914A2">
              <w:rPr>
                <w:sz w:val="18"/>
              </w:rPr>
              <w:t>0.</w:t>
            </w:r>
            <w:r>
              <w:rPr>
                <w:sz w:val="18"/>
              </w:rPr>
              <w:t>250</w:t>
            </w:r>
            <w:r w:rsidRPr="00D914A2">
              <w:rPr>
                <w:sz w:val="18"/>
              </w:rPr>
              <w:t xml:space="preserve"> </w:t>
            </w:r>
            <w:r>
              <w:rPr>
                <w:sz w:val="18"/>
              </w:rPr>
              <w:t>–</w:t>
            </w:r>
            <w:r w:rsidRPr="00D914A2">
              <w:rPr>
                <w:sz w:val="18"/>
              </w:rPr>
              <w:t xml:space="preserve"> </w:t>
            </w:r>
            <w:r>
              <w:rPr>
                <w:sz w:val="18"/>
              </w:rPr>
              <w:t>0.403</w:t>
            </w:r>
          </w:p>
        </w:tc>
      </w:tr>
      <w:tr w:rsidR="00D914A2" w14:paraId="05B4EAE1" w14:textId="77777777" w:rsidTr="00595714">
        <w:trPr>
          <w:trHeight w:val="340"/>
        </w:trPr>
        <w:tc>
          <w:tcPr>
            <w:tcW w:w="2585" w:type="dxa"/>
            <w:vAlign w:val="center"/>
          </w:tcPr>
          <w:p w14:paraId="7F89ACED" w14:textId="3389E775" w:rsidR="00D914A2" w:rsidRPr="0071258E" w:rsidRDefault="00D914A2" w:rsidP="00D914A2">
            <w:pPr>
              <w:rPr>
                <w:rFonts w:cs="Arial"/>
                <w:color w:val="000000" w:themeColor="text1"/>
                <w:sz w:val="20"/>
                <w:szCs w:val="20"/>
              </w:rPr>
            </w:pPr>
            <w:r w:rsidRPr="0071258E">
              <w:rPr>
                <w:rFonts w:cs="Arial"/>
                <w:sz w:val="20"/>
                <w:szCs w:val="20"/>
              </w:rPr>
              <w:t>C20:1 Eicosenoic Acid</w:t>
            </w:r>
          </w:p>
        </w:tc>
        <w:tc>
          <w:tcPr>
            <w:tcW w:w="1340" w:type="dxa"/>
            <w:vAlign w:val="center"/>
          </w:tcPr>
          <w:p w14:paraId="5FBC0C23" w14:textId="3E036BB3" w:rsidR="00D914A2" w:rsidRPr="00530121" w:rsidRDefault="00D914A2" w:rsidP="00D914A2">
            <w:pPr>
              <w:jc w:val="center"/>
              <w:rPr>
                <w:rFonts w:cs="Arial"/>
                <w:color w:val="000000" w:themeColor="text1"/>
                <w:sz w:val="18"/>
                <w:szCs w:val="18"/>
              </w:rPr>
            </w:pPr>
            <w:r w:rsidRPr="00530121">
              <w:rPr>
                <w:sz w:val="18"/>
                <w:szCs w:val="18"/>
              </w:rPr>
              <w:t>0.182 ± 0.019</w:t>
            </w:r>
          </w:p>
        </w:tc>
        <w:tc>
          <w:tcPr>
            <w:tcW w:w="1340" w:type="dxa"/>
            <w:shd w:val="clear" w:color="auto" w:fill="C6D9F1" w:themeFill="text2" w:themeFillTint="33"/>
            <w:vAlign w:val="center"/>
          </w:tcPr>
          <w:p w14:paraId="4C2A8749" w14:textId="0CAA432B" w:rsidR="00D914A2" w:rsidRPr="00D914A2" w:rsidRDefault="00D914A2" w:rsidP="00D914A2">
            <w:pPr>
              <w:jc w:val="center"/>
              <w:rPr>
                <w:rFonts w:cs="Arial"/>
                <w:color w:val="000000" w:themeColor="text1"/>
                <w:sz w:val="18"/>
                <w:szCs w:val="18"/>
              </w:rPr>
            </w:pPr>
            <w:r w:rsidRPr="00D914A2">
              <w:rPr>
                <w:sz w:val="18"/>
              </w:rPr>
              <w:t>0.</w:t>
            </w:r>
            <w:r>
              <w:rPr>
                <w:sz w:val="18"/>
              </w:rPr>
              <w:t>189</w:t>
            </w:r>
            <w:r w:rsidRPr="00D914A2">
              <w:rPr>
                <w:sz w:val="18"/>
              </w:rPr>
              <w:t xml:space="preserve"> ± 0.0</w:t>
            </w:r>
            <w:r>
              <w:rPr>
                <w:sz w:val="18"/>
              </w:rPr>
              <w:t>22</w:t>
            </w:r>
          </w:p>
        </w:tc>
        <w:tc>
          <w:tcPr>
            <w:tcW w:w="1340" w:type="dxa"/>
            <w:shd w:val="clear" w:color="auto" w:fill="C6D9F1" w:themeFill="text2" w:themeFillTint="33"/>
            <w:vAlign w:val="center"/>
          </w:tcPr>
          <w:p w14:paraId="1694DCEE" w14:textId="30BC20DA" w:rsidR="00D914A2" w:rsidRPr="00D914A2" w:rsidRDefault="00D914A2" w:rsidP="00D914A2">
            <w:pPr>
              <w:jc w:val="center"/>
              <w:rPr>
                <w:rFonts w:cs="Arial"/>
                <w:color w:val="000000" w:themeColor="text1"/>
                <w:sz w:val="18"/>
                <w:szCs w:val="18"/>
              </w:rPr>
            </w:pPr>
            <w:r w:rsidRPr="00D914A2">
              <w:rPr>
                <w:sz w:val="18"/>
              </w:rPr>
              <w:t>0.</w:t>
            </w:r>
            <w:r>
              <w:rPr>
                <w:sz w:val="18"/>
              </w:rPr>
              <w:t>191</w:t>
            </w:r>
            <w:r w:rsidRPr="00D914A2">
              <w:rPr>
                <w:sz w:val="18"/>
              </w:rPr>
              <w:t xml:space="preserve"> ± 0.019</w:t>
            </w:r>
          </w:p>
        </w:tc>
        <w:tc>
          <w:tcPr>
            <w:tcW w:w="1340" w:type="dxa"/>
            <w:shd w:val="clear" w:color="auto" w:fill="auto"/>
            <w:vAlign w:val="center"/>
          </w:tcPr>
          <w:p w14:paraId="67EC4F08" w14:textId="204DB99D" w:rsidR="00D914A2" w:rsidRPr="00D914A2" w:rsidRDefault="00D914A2" w:rsidP="00D914A2">
            <w:pPr>
              <w:jc w:val="center"/>
              <w:rPr>
                <w:rFonts w:cs="Arial"/>
                <w:color w:val="000000" w:themeColor="text1"/>
                <w:sz w:val="18"/>
                <w:szCs w:val="18"/>
              </w:rPr>
            </w:pPr>
            <w:r w:rsidRPr="00D914A2">
              <w:rPr>
                <w:sz w:val="18"/>
              </w:rPr>
              <w:t>0.</w:t>
            </w:r>
            <w:r>
              <w:rPr>
                <w:sz w:val="18"/>
              </w:rPr>
              <w:t>135</w:t>
            </w:r>
            <w:r w:rsidRPr="00D914A2">
              <w:rPr>
                <w:sz w:val="18"/>
              </w:rPr>
              <w:t xml:space="preserve"> </w:t>
            </w:r>
            <w:r>
              <w:rPr>
                <w:sz w:val="18"/>
              </w:rPr>
              <w:t>-</w:t>
            </w:r>
            <w:r w:rsidRPr="00D914A2">
              <w:rPr>
                <w:sz w:val="18"/>
              </w:rPr>
              <w:t xml:space="preserve"> 0.</w:t>
            </w:r>
            <w:r>
              <w:rPr>
                <w:sz w:val="18"/>
              </w:rPr>
              <w:t>256</w:t>
            </w:r>
          </w:p>
        </w:tc>
        <w:tc>
          <w:tcPr>
            <w:tcW w:w="1341" w:type="dxa"/>
            <w:vAlign w:val="center"/>
          </w:tcPr>
          <w:p w14:paraId="6FA0C510" w14:textId="1CFCFEDF" w:rsidR="00D914A2" w:rsidRPr="00D914A2" w:rsidRDefault="00D914A2" w:rsidP="00D914A2">
            <w:pPr>
              <w:jc w:val="center"/>
              <w:rPr>
                <w:rFonts w:cs="Arial"/>
                <w:color w:val="000000" w:themeColor="text1"/>
                <w:sz w:val="18"/>
                <w:szCs w:val="18"/>
              </w:rPr>
            </w:pPr>
            <w:r w:rsidRPr="00D914A2">
              <w:rPr>
                <w:sz w:val="18"/>
              </w:rPr>
              <w:t>0.</w:t>
            </w:r>
            <w:r>
              <w:rPr>
                <w:sz w:val="18"/>
              </w:rPr>
              <w:t>115</w:t>
            </w:r>
            <w:r w:rsidRPr="00D914A2">
              <w:rPr>
                <w:sz w:val="18"/>
              </w:rPr>
              <w:t xml:space="preserve"> </w:t>
            </w:r>
            <w:r>
              <w:rPr>
                <w:sz w:val="18"/>
              </w:rPr>
              <w:t>-</w:t>
            </w:r>
            <w:r w:rsidRPr="00D914A2">
              <w:rPr>
                <w:sz w:val="18"/>
              </w:rPr>
              <w:t xml:space="preserve"> 0.</w:t>
            </w:r>
            <w:r>
              <w:rPr>
                <w:sz w:val="18"/>
              </w:rPr>
              <w:t>260</w:t>
            </w:r>
          </w:p>
        </w:tc>
      </w:tr>
      <w:tr w:rsidR="00530121" w14:paraId="77E365AB" w14:textId="77777777" w:rsidTr="00595714">
        <w:trPr>
          <w:trHeight w:val="340"/>
        </w:trPr>
        <w:tc>
          <w:tcPr>
            <w:tcW w:w="2585" w:type="dxa"/>
            <w:shd w:val="clear" w:color="auto" w:fill="D9D9D9" w:themeFill="background1" w:themeFillShade="D9"/>
            <w:vAlign w:val="center"/>
          </w:tcPr>
          <w:p w14:paraId="08A37B28" w14:textId="77777777" w:rsidR="00530121" w:rsidRPr="0071258E" w:rsidRDefault="00530121" w:rsidP="00530121">
            <w:pPr>
              <w:rPr>
                <w:rFonts w:cs="Arial"/>
                <w:color w:val="000000" w:themeColor="text1"/>
                <w:sz w:val="20"/>
                <w:szCs w:val="20"/>
              </w:rPr>
            </w:pPr>
            <w:r w:rsidRPr="0071258E">
              <w:rPr>
                <w:rFonts w:cs="Arial"/>
                <w:sz w:val="20"/>
                <w:szCs w:val="20"/>
              </w:rPr>
              <w:t>C22:0 Behenic Acid</w:t>
            </w:r>
          </w:p>
        </w:tc>
        <w:tc>
          <w:tcPr>
            <w:tcW w:w="1340" w:type="dxa"/>
            <w:shd w:val="clear" w:color="auto" w:fill="D9D9D9" w:themeFill="background1" w:themeFillShade="D9"/>
            <w:vAlign w:val="center"/>
          </w:tcPr>
          <w:p w14:paraId="02B8509A" w14:textId="053EFBF9" w:rsidR="00530121" w:rsidRPr="00530121" w:rsidRDefault="00530121" w:rsidP="00530121">
            <w:pPr>
              <w:jc w:val="center"/>
              <w:rPr>
                <w:rFonts w:cs="Arial"/>
                <w:color w:val="000000" w:themeColor="text1"/>
                <w:sz w:val="18"/>
                <w:szCs w:val="18"/>
              </w:rPr>
            </w:pPr>
            <w:r w:rsidRPr="00530121">
              <w:rPr>
                <w:rFonts w:cs="Arial"/>
                <w:color w:val="000000" w:themeColor="text1"/>
                <w:sz w:val="18"/>
                <w:szCs w:val="18"/>
              </w:rPr>
              <w:t>0.331 ± 0.010</w:t>
            </w:r>
          </w:p>
        </w:tc>
        <w:tc>
          <w:tcPr>
            <w:tcW w:w="1340" w:type="dxa"/>
            <w:shd w:val="clear" w:color="auto" w:fill="C6D9F1" w:themeFill="text2" w:themeFillTint="33"/>
            <w:vAlign w:val="center"/>
          </w:tcPr>
          <w:p w14:paraId="73F8D7B8" w14:textId="00ACD5AC" w:rsidR="00530121" w:rsidRPr="00530121" w:rsidRDefault="00530121" w:rsidP="00D914A2">
            <w:pPr>
              <w:jc w:val="center"/>
              <w:rPr>
                <w:rFonts w:cs="Arial"/>
                <w:color w:val="000000" w:themeColor="text1"/>
                <w:sz w:val="18"/>
                <w:szCs w:val="18"/>
              </w:rPr>
            </w:pPr>
            <w:r w:rsidRPr="00530121">
              <w:rPr>
                <w:sz w:val="18"/>
              </w:rPr>
              <w:t>0.378 ± 0.013</w:t>
            </w:r>
          </w:p>
        </w:tc>
        <w:tc>
          <w:tcPr>
            <w:tcW w:w="1340" w:type="dxa"/>
            <w:shd w:val="clear" w:color="auto" w:fill="C6D9F1" w:themeFill="text2" w:themeFillTint="33"/>
            <w:vAlign w:val="center"/>
          </w:tcPr>
          <w:p w14:paraId="2C789B65" w14:textId="5A420583" w:rsidR="00530121" w:rsidRPr="00530121" w:rsidRDefault="00530121" w:rsidP="00D914A2">
            <w:pPr>
              <w:jc w:val="center"/>
              <w:rPr>
                <w:rFonts w:cs="Arial"/>
                <w:color w:val="000000" w:themeColor="text1"/>
                <w:sz w:val="18"/>
                <w:szCs w:val="18"/>
              </w:rPr>
            </w:pPr>
            <w:r w:rsidRPr="00530121">
              <w:rPr>
                <w:sz w:val="18"/>
              </w:rPr>
              <w:t>0.3</w:t>
            </w:r>
            <w:r w:rsidR="00D914A2">
              <w:rPr>
                <w:sz w:val="18"/>
              </w:rPr>
              <w:t>82</w:t>
            </w:r>
            <w:r w:rsidRPr="00530121">
              <w:rPr>
                <w:sz w:val="18"/>
              </w:rPr>
              <w:t xml:space="preserve"> ± 0.01</w:t>
            </w:r>
            <w:r w:rsidR="00D914A2">
              <w:rPr>
                <w:sz w:val="18"/>
              </w:rPr>
              <w:t>2</w:t>
            </w:r>
          </w:p>
        </w:tc>
        <w:tc>
          <w:tcPr>
            <w:tcW w:w="1340" w:type="dxa"/>
            <w:shd w:val="clear" w:color="auto" w:fill="D9D9D9" w:themeFill="background1" w:themeFillShade="D9"/>
            <w:vAlign w:val="center"/>
          </w:tcPr>
          <w:p w14:paraId="29EE2B50" w14:textId="6AA3BDEE" w:rsidR="00530121" w:rsidRPr="00530121" w:rsidRDefault="00530121" w:rsidP="00D914A2">
            <w:pPr>
              <w:jc w:val="center"/>
              <w:rPr>
                <w:rFonts w:cs="Arial"/>
                <w:color w:val="000000" w:themeColor="text1"/>
                <w:sz w:val="18"/>
                <w:szCs w:val="18"/>
              </w:rPr>
            </w:pPr>
            <w:r w:rsidRPr="00530121">
              <w:rPr>
                <w:sz w:val="18"/>
              </w:rPr>
              <w:t>0.3</w:t>
            </w:r>
            <w:r w:rsidR="00D914A2">
              <w:rPr>
                <w:sz w:val="18"/>
              </w:rPr>
              <w:t>20</w:t>
            </w:r>
            <w:r w:rsidRPr="00530121">
              <w:rPr>
                <w:sz w:val="18"/>
              </w:rPr>
              <w:t xml:space="preserve"> </w:t>
            </w:r>
            <w:r w:rsidR="00D914A2">
              <w:rPr>
                <w:sz w:val="18"/>
              </w:rPr>
              <w:t>-</w:t>
            </w:r>
            <w:r w:rsidRPr="00530121">
              <w:rPr>
                <w:sz w:val="18"/>
              </w:rPr>
              <w:t xml:space="preserve"> 0.</w:t>
            </w:r>
            <w:r w:rsidR="00D914A2">
              <w:rPr>
                <w:sz w:val="18"/>
              </w:rPr>
              <w:t>390</w:t>
            </w:r>
          </w:p>
        </w:tc>
        <w:tc>
          <w:tcPr>
            <w:tcW w:w="1341" w:type="dxa"/>
            <w:shd w:val="clear" w:color="auto" w:fill="D9D9D9" w:themeFill="background1" w:themeFillShade="D9"/>
            <w:vAlign w:val="center"/>
          </w:tcPr>
          <w:p w14:paraId="310069B0" w14:textId="2148AF2F" w:rsidR="00530121" w:rsidRPr="00530121" w:rsidRDefault="00530121" w:rsidP="00D914A2">
            <w:pPr>
              <w:jc w:val="center"/>
              <w:rPr>
                <w:rFonts w:cs="Arial"/>
                <w:color w:val="000000" w:themeColor="text1"/>
                <w:sz w:val="18"/>
                <w:szCs w:val="18"/>
              </w:rPr>
            </w:pPr>
            <w:r w:rsidRPr="00530121">
              <w:rPr>
                <w:sz w:val="18"/>
              </w:rPr>
              <w:t>0.</w:t>
            </w:r>
            <w:r w:rsidR="00D914A2">
              <w:rPr>
                <w:sz w:val="18"/>
              </w:rPr>
              <w:t>291</w:t>
            </w:r>
            <w:r w:rsidRPr="00530121">
              <w:rPr>
                <w:sz w:val="18"/>
              </w:rPr>
              <w:t xml:space="preserve"> </w:t>
            </w:r>
            <w:r w:rsidR="00D914A2">
              <w:rPr>
                <w:sz w:val="18"/>
              </w:rPr>
              <w:t>-</w:t>
            </w:r>
            <w:r w:rsidRPr="00530121">
              <w:rPr>
                <w:sz w:val="18"/>
              </w:rPr>
              <w:t xml:space="preserve"> 0.</w:t>
            </w:r>
            <w:r w:rsidR="00D914A2">
              <w:rPr>
                <w:sz w:val="18"/>
              </w:rPr>
              <w:t>401</w:t>
            </w:r>
          </w:p>
        </w:tc>
      </w:tr>
      <w:tr w:rsidR="00530121" w14:paraId="150B715D" w14:textId="77777777" w:rsidTr="00595714">
        <w:trPr>
          <w:trHeight w:val="340"/>
        </w:trPr>
        <w:tc>
          <w:tcPr>
            <w:tcW w:w="2585" w:type="dxa"/>
            <w:vAlign w:val="center"/>
          </w:tcPr>
          <w:p w14:paraId="69C03E11" w14:textId="77777777" w:rsidR="00530121" w:rsidRPr="0071258E" w:rsidRDefault="00530121" w:rsidP="00530121">
            <w:pPr>
              <w:rPr>
                <w:rFonts w:cs="Arial"/>
                <w:sz w:val="20"/>
                <w:szCs w:val="20"/>
              </w:rPr>
            </w:pPr>
            <w:r w:rsidRPr="0071258E">
              <w:rPr>
                <w:rFonts w:cs="Arial"/>
                <w:sz w:val="20"/>
                <w:szCs w:val="20"/>
              </w:rPr>
              <w:t>C24:0 Lignoceric Acid</w:t>
            </w:r>
          </w:p>
        </w:tc>
        <w:tc>
          <w:tcPr>
            <w:tcW w:w="1340" w:type="dxa"/>
            <w:vAlign w:val="center"/>
          </w:tcPr>
          <w:p w14:paraId="0F19F037" w14:textId="5178CB0E" w:rsidR="00530121" w:rsidRPr="00530121" w:rsidRDefault="00530121" w:rsidP="00530121">
            <w:pPr>
              <w:jc w:val="center"/>
              <w:rPr>
                <w:rFonts w:cs="Arial"/>
                <w:color w:val="000000"/>
                <w:sz w:val="18"/>
                <w:szCs w:val="18"/>
              </w:rPr>
            </w:pPr>
            <w:r w:rsidRPr="00530121">
              <w:rPr>
                <w:rFonts w:cs="Arial"/>
                <w:color w:val="000000"/>
                <w:sz w:val="18"/>
                <w:szCs w:val="18"/>
              </w:rPr>
              <w:t>0.111 ± 0.021</w:t>
            </w:r>
          </w:p>
        </w:tc>
        <w:tc>
          <w:tcPr>
            <w:tcW w:w="1340" w:type="dxa"/>
            <w:vAlign w:val="center"/>
          </w:tcPr>
          <w:p w14:paraId="71211FE1" w14:textId="5D01E5E1" w:rsidR="00530121" w:rsidRPr="00530121" w:rsidRDefault="00530121" w:rsidP="00530121">
            <w:pPr>
              <w:jc w:val="center"/>
              <w:rPr>
                <w:rFonts w:cs="Arial"/>
                <w:sz w:val="18"/>
                <w:szCs w:val="18"/>
                <w:lang w:eastAsia="en-GB" w:bidi="ar-SA"/>
              </w:rPr>
            </w:pPr>
            <w:r w:rsidRPr="00530121">
              <w:rPr>
                <w:sz w:val="18"/>
              </w:rPr>
              <w:t>0.101 ± 0.024</w:t>
            </w:r>
          </w:p>
        </w:tc>
        <w:tc>
          <w:tcPr>
            <w:tcW w:w="1340" w:type="dxa"/>
            <w:shd w:val="clear" w:color="auto" w:fill="C6D9F1" w:themeFill="text2" w:themeFillTint="33"/>
            <w:vAlign w:val="center"/>
          </w:tcPr>
          <w:p w14:paraId="1ED0F9E5" w14:textId="76432DD6" w:rsidR="00530121" w:rsidRPr="00530121" w:rsidRDefault="00530121" w:rsidP="00D914A2">
            <w:pPr>
              <w:jc w:val="center"/>
              <w:rPr>
                <w:rFonts w:cs="Arial"/>
                <w:sz w:val="18"/>
                <w:szCs w:val="18"/>
                <w:lang w:eastAsia="en-GB" w:bidi="ar-SA"/>
              </w:rPr>
            </w:pPr>
            <w:r w:rsidRPr="00530121">
              <w:rPr>
                <w:sz w:val="18"/>
              </w:rPr>
              <w:t>0.</w:t>
            </w:r>
            <w:r w:rsidR="00D914A2">
              <w:rPr>
                <w:sz w:val="18"/>
              </w:rPr>
              <w:t>098</w:t>
            </w:r>
            <w:r w:rsidRPr="00530121">
              <w:rPr>
                <w:sz w:val="18"/>
              </w:rPr>
              <w:t xml:space="preserve"> ± 0.0</w:t>
            </w:r>
            <w:r w:rsidR="00D914A2">
              <w:rPr>
                <w:sz w:val="18"/>
              </w:rPr>
              <w:t>32</w:t>
            </w:r>
          </w:p>
        </w:tc>
        <w:tc>
          <w:tcPr>
            <w:tcW w:w="1340" w:type="dxa"/>
            <w:vAlign w:val="center"/>
          </w:tcPr>
          <w:p w14:paraId="520F831B" w14:textId="1EB9C149" w:rsidR="00530121" w:rsidRPr="00530121" w:rsidRDefault="00D914A2" w:rsidP="00D914A2">
            <w:pPr>
              <w:jc w:val="center"/>
              <w:rPr>
                <w:rFonts w:cs="Arial"/>
                <w:sz w:val="18"/>
                <w:szCs w:val="18"/>
                <w:lang w:eastAsia="en-GB" w:bidi="ar-SA"/>
              </w:rPr>
            </w:pPr>
            <w:r>
              <w:rPr>
                <w:sz w:val="18"/>
              </w:rPr>
              <w:t>0.038</w:t>
            </w:r>
            <w:r w:rsidR="00530121" w:rsidRPr="00530121">
              <w:rPr>
                <w:sz w:val="18"/>
              </w:rPr>
              <w:t xml:space="preserve"> </w:t>
            </w:r>
            <w:r>
              <w:rPr>
                <w:sz w:val="18"/>
              </w:rPr>
              <w:t>-</w:t>
            </w:r>
            <w:r w:rsidR="00530121" w:rsidRPr="00530121">
              <w:rPr>
                <w:sz w:val="18"/>
              </w:rPr>
              <w:t xml:space="preserve"> 0.</w:t>
            </w:r>
            <w:r>
              <w:rPr>
                <w:sz w:val="18"/>
              </w:rPr>
              <w:t>180</w:t>
            </w:r>
          </w:p>
        </w:tc>
        <w:tc>
          <w:tcPr>
            <w:tcW w:w="1341" w:type="dxa"/>
            <w:vAlign w:val="center"/>
          </w:tcPr>
          <w:p w14:paraId="38259680" w14:textId="553893D3" w:rsidR="00530121" w:rsidRPr="00530121" w:rsidRDefault="00D914A2" w:rsidP="00D914A2">
            <w:pPr>
              <w:jc w:val="center"/>
              <w:rPr>
                <w:rFonts w:cs="Arial"/>
                <w:sz w:val="18"/>
                <w:szCs w:val="18"/>
                <w:lang w:eastAsia="en-GB" w:bidi="ar-SA"/>
              </w:rPr>
            </w:pPr>
            <w:r>
              <w:rPr>
                <w:sz w:val="18"/>
              </w:rPr>
              <w:t>0</w:t>
            </w:r>
            <w:r w:rsidR="00530121" w:rsidRPr="00530121">
              <w:rPr>
                <w:sz w:val="18"/>
              </w:rPr>
              <w:t xml:space="preserve"> </w:t>
            </w:r>
            <w:r>
              <w:rPr>
                <w:sz w:val="18"/>
              </w:rPr>
              <w:t>-</w:t>
            </w:r>
            <w:r w:rsidR="00530121" w:rsidRPr="00530121">
              <w:rPr>
                <w:sz w:val="18"/>
              </w:rPr>
              <w:t xml:space="preserve"> 0.</w:t>
            </w:r>
            <w:r>
              <w:rPr>
                <w:sz w:val="18"/>
              </w:rPr>
              <w:t>200</w:t>
            </w:r>
          </w:p>
        </w:tc>
      </w:tr>
    </w:tbl>
    <w:p w14:paraId="7308AD7C" w14:textId="2DDF325D" w:rsidR="00977222" w:rsidRDefault="00977222" w:rsidP="00977222">
      <w:pPr>
        <w:pStyle w:val="FSTableTitle"/>
        <w:spacing w:before="60"/>
        <w:rPr>
          <w:b w:val="0"/>
          <w:color w:val="000000" w:themeColor="text1"/>
          <w:sz w:val="18"/>
          <w:szCs w:val="18"/>
        </w:rPr>
      </w:pPr>
      <w:r w:rsidRPr="00BD7009">
        <w:rPr>
          <w:b w:val="0"/>
          <w:sz w:val="18"/>
          <w:szCs w:val="18"/>
        </w:rPr>
        <w:t>1.</w:t>
      </w:r>
      <w:r w:rsidRPr="00D07BD4">
        <w:rPr>
          <w:b w:val="0"/>
          <w:sz w:val="18"/>
          <w:szCs w:val="18"/>
        </w:rPr>
        <w:t xml:space="preserve"> </w:t>
      </w:r>
      <w:r w:rsidRPr="00D07BD4">
        <w:rPr>
          <w:b w:val="0"/>
          <w:color w:val="000000" w:themeColor="text1"/>
          <w:sz w:val="18"/>
          <w:szCs w:val="18"/>
        </w:rPr>
        <w:t>Cells highlighted in blue show statistically significant data.</w:t>
      </w:r>
    </w:p>
    <w:p w14:paraId="2EF470CC" w14:textId="77777777" w:rsidR="00977222" w:rsidRDefault="00977222" w:rsidP="00221257">
      <w:pPr>
        <w:pStyle w:val="Heading3"/>
      </w:pPr>
      <w:bookmarkStart w:id="234" w:name="_Toc491439854"/>
      <w:bookmarkStart w:id="235" w:name="_Toc493515885"/>
      <w:bookmarkStart w:id="236" w:name="_Toc495489355"/>
      <w:bookmarkStart w:id="237" w:name="_Toc496169808"/>
      <w:r w:rsidRPr="00D53E1B">
        <w:t>5.3.5</w:t>
      </w:r>
      <w:r>
        <w:tab/>
        <w:t>Anti-nutrients</w:t>
      </w:r>
      <w:bookmarkEnd w:id="234"/>
      <w:bookmarkEnd w:id="235"/>
      <w:bookmarkEnd w:id="236"/>
      <w:bookmarkEnd w:id="237"/>
    </w:p>
    <w:p w14:paraId="50414D47" w14:textId="5F24A04D" w:rsidR="00977222" w:rsidRDefault="00595714" w:rsidP="00E620E9">
      <w:pPr>
        <w:rPr>
          <w:rFonts w:cs="Arial"/>
          <w:b/>
        </w:rPr>
      </w:pPr>
      <w:r>
        <w:rPr>
          <w:color w:val="000000" w:themeColor="text1"/>
        </w:rPr>
        <w:t>A</w:t>
      </w:r>
      <w:r w:rsidR="00977222">
        <w:rPr>
          <w:color w:val="000000" w:themeColor="text1"/>
        </w:rPr>
        <w:t xml:space="preserve"> statistically significant </w:t>
      </w:r>
      <w:r>
        <w:rPr>
          <w:color w:val="000000" w:themeColor="text1"/>
        </w:rPr>
        <w:t xml:space="preserve">increase </w:t>
      </w:r>
      <w:r w:rsidR="009863FD">
        <w:rPr>
          <w:color w:val="000000" w:themeColor="text1"/>
        </w:rPr>
        <w:t xml:space="preserve">(10%) </w:t>
      </w:r>
      <w:r>
        <w:rPr>
          <w:color w:val="000000" w:themeColor="text1"/>
        </w:rPr>
        <w:t>was observed in</w:t>
      </w:r>
      <w:r w:rsidR="00977222">
        <w:rPr>
          <w:color w:val="000000" w:themeColor="text1"/>
        </w:rPr>
        <w:t xml:space="preserve"> </w:t>
      </w:r>
      <w:r>
        <w:rPr>
          <w:color w:val="000000" w:themeColor="text1"/>
        </w:rPr>
        <w:t>phytic acid</w:t>
      </w:r>
      <w:r w:rsidR="00977222">
        <w:rPr>
          <w:color w:val="000000" w:themeColor="text1"/>
        </w:rPr>
        <w:t xml:space="preserve"> in the </w:t>
      </w:r>
      <w:r w:rsidR="00B53A1F">
        <w:rPr>
          <w:color w:val="000000" w:themeColor="text1"/>
        </w:rPr>
        <w:t>GMB151</w:t>
      </w:r>
      <w:r>
        <w:rPr>
          <w:color w:val="000000" w:themeColor="text1"/>
        </w:rPr>
        <w:t xml:space="preserve"> treated</w:t>
      </w:r>
      <w:r w:rsidR="00977222">
        <w:rPr>
          <w:color w:val="000000" w:themeColor="text1"/>
        </w:rPr>
        <w:t xml:space="preserve"> line compared to </w:t>
      </w:r>
      <w:r>
        <w:rPr>
          <w:color w:val="000000" w:themeColor="text1"/>
        </w:rPr>
        <w:t>Thorne</w:t>
      </w:r>
      <w:r w:rsidR="0021687B">
        <w:rPr>
          <w:color w:val="000000" w:themeColor="text1"/>
        </w:rPr>
        <w:t xml:space="preserve"> (</w:t>
      </w:r>
      <w:hyperlink w:anchor="Table13" w:history="1">
        <w:r w:rsidR="0021687B" w:rsidRPr="0021687B">
          <w:rPr>
            <w:rStyle w:val="Hyperlink"/>
          </w:rPr>
          <w:t>Table 13</w:t>
        </w:r>
      </w:hyperlink>
      <w:r w:rsidR="0021687B">
        <w:rPr>
          <w:color w:val="000000" w:themeColor="text1"/>
        </w:rPr>
        <w:t>)</w:t>
      </w:r>
      <w:r>
        <w:rPr>
          <w:color w:val="000000" w:themeColor="text1"/>
        </w:rPr>
        <w:t xml:space="preserve">. This increase was </w:t>
      </w:r>
      <w:r w:rsidR="00CD0BD5">
        <w:rPr>
          <w:color w:val="000000" w:themeColor="text1"/>
        </w:rPr>
        <w:t>only observed in</w:t>
      </w:r>
      <w:r w:rsidR="009863FD">
        <w:rPr>
          <w:color w:val="000000" w:themeColor="text1"/>
        </w:rPr>
        <w:t xml:space="preserve"> measurements</w:t>
      </w:r>
      <w:r>
        <w:rPr>
          <w:color w:val="000000" w:themeColor="text1"/>
        </w:rPr>
        <w:t xml:space="preserve"> from a single site </w:t>
      </w:r>
      <w:r w:rsidR="009863FD">
        <w:rPr>
          <w:color w:val="000000" w:themeColor="text1"/>
        </w:rPr>
        <w:t>from</w:t>
      </w:r>
      <w:r>
        <w:rPr>
          <w:color w:val="000000" w:themeColor="text1"/>
        </w:rPr>
        <w:t xml:space="preserve"> the eight</w:t>
      </w:r>
      <w:r w:rsidR="00E620E9">
        <w:rPr>
          <w:color w:val="000000" w:themeColor="text1"/>
        </w:rPr>
        <w:t xml:space="preserve"> field trial sites</w:t>
      </w:r>
      <w:r w:rsidR="009863FD">
        <w:rPr>
          <w:color w:val="000000" w:themeColor="text1"/>
        </w:rPr>
        <w:t>.</w:t>
      </w:r>
      <w:r w:rsidR="00977222">
        <w:rPr>
          <w:color w:val="000000" w:themeColor="text1"/>
        </w:rPr>
        <w:t xml:space="preserve"> </w:t>
      </w:r>
      <w:r w:rsidR="009863FD">
        <w:rPr>
          <w:color w:val="000000" w:themeColor="text1"/>
        </w:rPr>
        <w:t>The mean value falls within the reference range and tolerance interval, indicating that this differences is not biologically significant</w:t>
      </w:r>
      <w:r w:rsidR="00977222">
        <w:rPr>
          <w:color w:val="000000" w:themeColor="text1"/>
        </w:rPr>
        <w:t xml:space="preserve">. </w:t>
      </w:r>
      <w:r w:rsidR="009863FD">
        <w:rPr>
          <w:color w:val="000000" w:themeColor="text1"/>
        </w:rPr>
        <w:t>S</w:t>
      </w:r>
      <w:r w:rsidR="00977222">
        <w:rPr>
          <w:color w:val="000000" w:themeColor="text1"/>
        </w:rPr>
        <w:t>tatistically significant decrease</w:t>
      </w:r>
      <w:r w:rsidR="009863FD">
        <w:rPr>
          <w:color w:val="000000" w:themeColor="text1"/>
        </w:rPr>
        <w:t>s</w:t>
      </w:r>
      <w:r w:rsidR="00977222">
        <w:rPr>
          <w:color w:val="000000" w:themeColor="text1"/>
        </w:rPr>
        <w:t xml:space="preserve"> </w:t>
      </w:r>
      <w:r w:rsidR="00CD0BD5">
        <w:rPr>
          <w:color w:val="000000" w:themeColor="text1"/>
        </w:rPr>
        <w:t xml:space="preserve">(13-17%) </w:t>
      </w:r>
      <w:r w:rsidR="009863FD">
        <w:rPr>
          <w:color w:val="000000" w:themeColor="text1"/>
        </w:rPr>
        <w:t>were observed for both individual and total isoflavones in untreated and treated GMB151.</w:t>
      </w:r>
      <w:r w:rsidR="00E620E9">
        <w:rPr>
          <w:color w:val="000000" w:themeColor="text1"/>
        </w:rPr>
        <w:t xml:space="preserve"> T</w:t>
      </w:r>
      <w:r w:rsidR="00977222">
        <w:rPr>
          <w:color w:val="000000" w:themeColor="text1"/>
        </w:rPr>
        <w:t>he change</w:t>
      </w:r>
      <w:r w:rsidR="00E620E9">
        <w:rPr>
          <w:color w:val="000000" w:themeColor="text1"/>
        </w:rPr>
        <w:t>s fall within the reference range and tolerance intervals, indicating these minor differences are not biologically significant.</w:t>
      </w:r>
    </w:p>
    <w:p w14:paraId="743E73A2" w14:textId="1769B3C2" w:rsidR="00977222" w:rsidRDefault="00977222" w:rsidP="00977222">
      <w:pPr>
        <w:widowControl/>
        <w:rPr>
          <w:rFonts w:cs="Arial"/>
          <w:b/>
        </w:rPr>
      </w:pPr>
    </w:p>
    <w:p w14:paraId="1AE6FBB3" w14:textId="77777777" w:rsidR="00977222" w:rsidRDefault="00977222" w:rsidP="00977222">
      <w:pPr>
        <w:pStyle w:val="FSTableTitle"/>
        <w:spacing w:after="120"/>
      </w:pPr>
      <w:bookmarkStart w:id="238" w:name="Table13"/>
      <w:r>
        <w:t>Table 13</w:t>
      </w:r>
      <w:bookmarkEnd w:id="238"/>
      <w:r>
        <w:t xml:space="preserve">: </w:t>
      </w:r>
      <w:r w:rsidRPr="00827952">
        <w:t xml:space="preserve">Comparison of </w:t>
      </w:r>
      <w:r>
        <w:t>Anti-nutrients</w:t>
      </w:r>
    </w:p>
    <w:tbl>
      <w:tblPr>
        <w:tblStyle w:val="TableGrid"/>
        <w:tblW w:w="9180" w:type="dxa"/>
        <w:tblLayout w:type="fixed"/>
        <w:tblLook w:val="04A0" w:firstRow="1" w:lastRow="0" w:firstColumn="1" w:lastColumn="0" w:noHBand="0" w:noVBand="1"/>
        <w:tblCaption w:val="Table 13"/>
        <w:tblDescription w:val="Comparison of anti-nutrients"/>
      </w:tblPr>
      <w:tblGrid>
        <w:gridCol w:w="2224"/>
        <w:gridCol w:w="11"/>
        <w:gridCol w:w="1317"/>
        <w:gridCol w:w="1302"/>
        <w:gridCol w:w="1287"/>
        <w:gridCol w:w="8"/>
        <w:gridCol w:w="1476"/>
        <w:gridCol w:w="1555"/>
      </w:tblGrid>
      <w:tr w:rsidR="00977222" w14:paraId="4163A8B4" w14:textId="77777777" w:rsidTr="004D017A">
        <w:trPr>
          <w:trHeight w:val="737"/>
        </w:trPr>
        <w:tc>
          <w:tcPr>
            <w:tcW w:w="2224" w:type="dxa"/>
            <w:vMerge w:val="restart"/>
            <w:tcBorders>
              <w:top w:val="nil"/>
              <w:left w:val="nil"/>
              <w:bottom w:val="nil"/>
              <w:right w:val="nil"/>
            </w:tcBorders>
            <w:shd w:val="clear" w:color="auto" w:fill="7F7F7F" w:themeFill="text1" w:themeFillTint="80"/>
            <w:vAlign w:val="center"/>
          </w:tcPr>
          <w:p w14:paraId="2A52C098" w14:textId="77777777" w:rsidR="00977222" w:rsidRPr="00C06286" w:rsidRDefault="00977222" w:rsidP="006E49E2">
            <w:pPr>
              <w:rPr>
                <w:rFonts w:cs="Arial"/>
                <w:b/>
                <w:color w:val="FFFFFF" w:themeColor="background1"/>
                <w:sz w:val="20"/>
                <w:szCs w:val="20"/>
              </w:rPr>
            </w:pPr>
            <w:r w:rsidRPr="00C06286">
              <w:rPr>
                <w:rFonts w:cs="Arial"/>
                <w:b/>
                <w:color w:val="FFFFFF" w:themeColor="background1"/>
                <w:sz w:val="20"/>
                <w:szCs w:val="20"/>
              </w:rPr>
              <w:t>Parameter</w:t>
            </w:r>
          </w:p>
        </w:tc>
        <w:tc>
          <w:tcPr>
            <w:tcW w:w="1328" w:type="dxa"/>
            <w:gridSpan w:val="2"/>
            <w:tcBorders>
              <w:top w:val="nil"/>
              <w:left w:val="nil"/>
              <w:bottom w:val="nil"/>
              <w:right w:val="nil"/>
            </w:tcBorders>
            <w:shd w:val="clear" w:color="auto" w:fill="7F7F7F" w:themeFill="text1" w:themeFillTint="80"/>
            <w:vAlign w:val="center"/>
          </w:tcPr>
          <w:p w14:paraId="43B35465" w14:textId="77777777" w:rsidR="00977222" w:rsidRPr="00C06286" w:rsidRDefault="00977222" w:rsidP="006E49E2">
            <w:pPr>
              <w:jc w:val="center"/>
              <w:rPr>
                <w:rFonts w:cs="Arial"/>
                <w:b/>
                <w:color w:val="FFFFFF" w:themeColor="background1"/>
                <w:sz w:val="20"/>
                <w:szCs w:val="20"/>
              </w:rPr>
            </w:pPr>
            <w:r w:rsidRPr="00C06286">
              <w:rPr>
                <w:rFonts w:cs="Arial"/>
                <w:b/>
                <w:color w:val="FFFFFF" w:themeColor="background1"/>
                <w:sz w:val="20"/>
                <w:szCs w:val="20"/>
              </w:rPr>
              <w:t>Non-GM counterpart</w:t>
            </w:r>
          </w:p>
        </w:tc>
        <w:tc>
          <w:tcPr>
            <w:tcW w:w="1302" w:type="dxa"/>
            <w:tcBorders>
              <w:top w:val="nil"/>
              <w:left w:val="nil"/>
              <w:bottom w:val="nil"/>
              <w:right w:val="nil"/>
            </w:tcBorders>
            <w:shd w:val="clear" w:color="auto" w:fill="7F7F7F" w:themeFill="text1" w:themeFillTint="80"/>
            <w:vAlign w:val="center"/>
          </w:tcPr>
          <w:p w14:paraId="51B983FA" w14:textId="265E2652" w:rsidR="00977222" w:rsidRPr="00C06286" w:rsidRDefault="00B53A1F" w:rsidP="006E49E2">
            <w:pPr>
              <w:jc w:val="center"/>
              <w:rPr>
                <w:rFonts w:cs="Arial"/>
                <w:b/>
                <w:color w:val="FFFFFF" w:themeColor="background1"/>
                <w:sz w:val="20"/>
                <w:szCs w:val="20"/>
              </w:rPr>
            </w:pPr>
            <w:r w:rsidRPr="00C06286">
              <w:rPr>
                <w:rFonts w:cs="Arial"/>
                <w:b/>
                <w:color w:val="FFFFFF" w:themeColor="background1"/>
                <w:sz w:val="20"/>
                <w:szCs w:val="20"/>
              </w:rPr>
              <w:t>GMB151</w:t>
            </w:r>
            <w:r w:rsidR="00977222" w:rsidRPr="00C06286">
              <w:rPr>
                <w:rFonts w:cs="Arial"/>
                <w:b/>
                <w:color w:val="FFFFFF" w:themeColor="background1"/>
                <w:sz w:val="20"/>
                <w:szCs w:val="20"/>
              </w:rPr>
              <w:t xml:space="preserve"> untreated</w:t>
            </w:r>
          </w:p>
        </w:tc>
        <w:tc>
          <w:tcPr>
            <w:tcW w:w="1295" w:type="dxa"/>
            <w:gridSpan w:val="2"/>
            <w:tcBorders>
              <w:top w:val="nil"/>
              <w:left w:val="nil"/>
              <w:bottom w:val="nil"/>
              <w:right w:val="nil"/>
            </w:tcBorders>
            <w:shd w:val="clear" w:color="auto" w:fill="7F7F7F" w:themeFill="text1" w:themeFillTint="80"/>
            <w:vAlign w:val="center"/>
          </w:tcPr>
          <w:p w14:paraId="5508ED21" w14:textId="2761C278" w:rsidR="00977222" w:rsidRPr="00C06286" w:rsidRDefault="00B53A1F" w:rsidP="006E49E2">
            <w:pPr>
              <w:jc w:val="center"/>
              <w:rPr>
                <w:rFonts w:cs="Arial"/>
                <w:b/>
                <w:color w:val="FFFFFF" w:themeColor="background1"/>
                <w:sz w:val="20"/>
                <w:szCs w:val="20"/>
              </w:rPr>
            </w:pPr>
            <w:r w:rsidRPr="00C06286">
              <w:rPr>
                <w:rFonts w:cs="Arial"/>
                <w:b/>
                <w:color w:val="FFFFFF" w:themeColor="background1"/>
                <w:sz w:val="20"/>
                <w:szCs w:val="20"/>
              </w:rPr>
              <w:t>GMB151</w:t>
            </w:r>
            <w:r w:rsidR="00977222" w:rsidRPr="00C06286">
              <w:rPr>
                <w:rFonts w:cs="Arial"/>
                <w:b/>
                <w:color w:val="FFFFFF" w:themeColor="background1"/>
                <w:sz w:val="20"/>
                <w:szCs w:val="20"/>
              </w:rPr>
              <w:t xml:space="preserve"> treated</w:t>
            </w:r>
          </w:p>
        </w:tc>
        <w:tc>
          <w:tcPr>
            <w:tcW w:w="1476" w:type="dxa"/>
            <w:tcBorders>
              <w:top w:val="nil"/>
              <w:left w:val="nil"/>
              <w:bottom w:val="nil"/>
              <w:right w:val="nil"/>
            </w:tcBorders>
            <w:shd w:val="clear" w:color="auto" w:fill="7F7F7F" w:themeFill="text1" w:themeFillTint="80"/>
            <w:vAlign w:val="center"/>
          </w:tcPr>
          <w:p w14:paraId="527DE6A0" w14:textId="77777777" w:rsidR="00977222" w:rsidRPr="00C06286" w:rsidRDefault="00977222" w:rsidP="006E49E2">
            <w:pPr>
              <w:jc w:val="center"/>
              <w:rPr>
                <w:rFonts w:cs="Arial"/>
                <w:b/>
                <w:color w:val="FFFFFF" w:themeColor="background1"/>
                <w:sz w:val="20"/>
                <w:szCs w:val="20"/>
              </w:rPr>
            </w:pPr>
            <w:r w:rsidRPr="00C06286">
              <w:rPr>
                <w:rFonts w:cs="Arial"/>
                <w:b/>
                <w:color w:val="FFFFFF" w:themeColor="background1"/>
                <w:sz w:val="20"/>
                <w:szCs w:val="20"/>
              </w:rPr>
              <w:t>Non-GM reference varieties</w:t>
            </w:r>
          </w:p>
        </w:tc>
        <w:tc>
          <w:tcPr>
            <w:tcW w:w="1555" w:type="dxa"/>
            <w:tcBorders>
              <w:top w:val="nil"/>
              <w:left w:val="nil"/>
              <w:bottom w:val="nil"/>
              <w:right w:val="nil"/>
            </w:tcBorders>
            <w:shd w:val="clear" w:color="auto" w:fill="7F7F7F" w:themeFill="text1" w:themeFillTint="80"/>
            <w:vAlign w:val="center"/>
          </w:tcPr>
          <w:p w14:paraId="43056795" w14:textId="77777777" w:rsidR="00977222" w:rsidRPr="00C06286" w:rsidRDefault="00977222" w:rsidP="006E49E2">
            <w:pPr>
              <w:jc w:val="center"/>
              <w:rPr>
                <w:rFonts w:cs="Arial"/>
                <w:b/>
                <w:color w:val="FFFFFF" w:themeColor="background1"/>
                <w:sz w:val="20"/>
                <w:szCs w:val="20"/>
              </w:rPr>
            </w:pPr>
            <w:r w:rsidRPr="00C06286">
              <w:rPr>
                <w:rFonts w:cs="Arial"/>
                <w:b/>
                <w:color w:val="FFFFFF" w:themeColor="background1"/>
                <w:sz w:val="20"/>
                <w:szCs w:val="20"/>
              </w:rPr>
              <w:t>Tolerance Interval</w:t>
            </w:r>
          </w:p>
        </w:tc>
      </w:tr>
      <w:tr w:rsidR="00977222" w14:paraId="3A2C1B9A" w14:textId="77777777" w:rsidTr="004D017A">
        <w:trPr>
          <w:trHeight w:val="283"/>
        </w:trPr>
        <w:tc>
          <w:tcPr>
            <w:tcW w:w="2224" w:type="dxa"/>
            <w:vMerge/>
            <w:tcBorders>
              <w:top w:val="nil"/>
              <w:left w:val="nil"/>
              <w:bottom w:val="nil"/>
              <w:right w:val="nil"/>
            </w:tcBorders>
            <w:shd w:val="clear" w:color="auto" w:fill="7F7F7F" w:themeFill="text1" w:themeFillTint="80"/>
          </w:tcPr>
          <w:p w14:paraId="274BD89C" w14:textId="77777777" w:rsidR="00977222" w:rsidRPr="00C06286" w:rsidRDefault="00977222" w:rsidP="006E49E2">
            <w:pPr>
              <w:rPr>
                <w:rFonts w:cs="Arial"/>
                <w:b/>
                <w:color w:val="FFFFFF" w:themeColor="background1"/>
                <w:sz w:val="20"/>
                <w:szCs w:val="20"/>
              </w:rPr>
            </w:pPr>
          </w:p>
        </w:tc>
        <w:tc>
          <w:tcPr>
            <w:tcW w:w="1328" w:type="dxa"/>
            <w:gridSpan w:val="2"/>
            <w:tcBorders>
              <w:top w:val="nil"/>
              <w:left w:val="nil"/>
              <w:bottom w:val="nil"/>
              <w:right w:val="nil"/>
            </w:tcBorders>
            <w:shd w:val="clear" w:color="auto" w:fill="7F7F7F" w:themeFill="text1" w:themeFillTint="80"/>
            <w:vAlign w:val="center"/>
          </w:tcPr>
          <w:p w14:paraId="23C19CA2" w14:textId="77777777" w:rsidR="00977222" w:rsidRPr="00C06286" w:rsidRDefault="00977222" w:rsidP="006E49E2">
            <w:pPr>
              <w:jc w:val="center"/>
              <w:rPr>
                <w:rFonts w:cs="Arial"/>
                <w:b/>
                <w:color w:val="FFFFFF" w:themeColor="background1"/>
                <w:sz w:val="20"/>
                <w:szCs w:val="20"/>
              </w:rPr>
            </w:pPr>
            <w:r w:rsidRPr="00C06286">
              <w:rPr>
                <w:rFonts w:cs="Arial"/>
                <w:b/>
                <w:color w:val="FFFFFF" w:themeColor="background1"/>
                <w:sz w:val="20"/>
                <w:szCs w:val="20"/>
              </w:rPr>
              <w:t>Mean ± SD</w:t>
            </w:r>
          </w:p>
        </w:tc>
        <w:tc>
          <w:tcPr>
            <w:tcW w:w="1302" w:type="dxa"/>
            <w:tcBorders>
              <w:top w:val="nil"/>
              <w:left w:val="nil"/>
              <w:bottom w:val="nil"/>
              <w:right w:val="nil"/>
            </w:tcBorders>
            <w:shd w:val="clear" w:color="auto" w:fill="7F7F7F" w:themeFill="text1" w:themeFillTint="80"/>
            <w:vAlign w:val="center"/>
          </w:tcPr>
          <w:p w14:paraId="55A2C306" w14:textId="77777777" w:rsidR="00977222" w:rsidRPr="00C06286" w:rsidRDefault="00977222" w:rsidP="006E49E2">
            <w:pPr>
              <w:jc w:val="center"/>
              <w:rPr>
                <w:rFonts w:cs="Arial"/>
                <w:b/>
                <w:color w:val="FFFFFF" w:themeColor="background1"/>
                <w:sz w:val="20"/>
                <w:szCs w:val="20"/>
              </w:rPr>
            </w:pPr>
            <w:r w:rsidRPr="00C06286">
              <w:rPr>
                <w:rFonts w:cs="Arial"/>
                <w:b/>
                <w:color w:val="FFFFFF" w:themeColor="background1"/>
                <w:sz w:val="20"/>
                <w:szCs w:val="20"/>
              </w:rPr>
              <w:t>Mean ± SD</w:t>
            </w:r>
          </w:p>
        </w:tc>
        <w:tc>
          <w:tcPr>
            <w:tcW w:w="1295" w:type="dxa"/>
            <w:gridSpan w:val="2"/>
            <w:tcBorders>
              <w:top w:val="nil"/>
              <w:left w:val="nil"/>
              <w:bottom w:val="nil"/>
              <w:right w:val="nil"/>
            </w:tcBorders>
            <w:shd w:val="clear" w:color="auto" w:fill="7F7F7F" w:themeFill="text1" w:themeFillTint="80"/>
            <w:vAlign w:val="center"/>
          </w:tcPr>
          <w:p w14:paraId="6020A4A7" w14:textId="77777777" w:rsidR="00977222" w:rsidRPr="00C06286" w:rsidRDefault="00977222" w:rsidP="006E49E2">
            <w:pPr>
              <w:jc w:val="center"/>
              <w:rPr>
                <w:rFonts w:cs="Arial"/>
                <w:b/>
                <w:color w:val="FFFFFF" w:themeColor="background1"/>
                <w:sz w:val="20"/>
                <w:szCs w:val="20"/>
              </w:rPr>
            </w:pPr>
            <w:r w:rsidRPr="00C06286">
              <w:rPr>
                <w:rFonts w:cs="Arial"/>
                <w:b/>
                <w:color w:val="FFFFFF" w:themeColor="background1"/>
                <w:sz w:val="20"/>
                <w:szCs w:val="20"/>
              </w:rPr>
              <w:t>Mean ± SD</w:t>
            </w:r>
          </w:p>
        </w:tc>
        <w:tc>
          <w:tcPr>
            <w:tcW w:w="1476" w:type="dxa"/>
            <w:tcBorders>
              <w:top w:val="nil"/>
              <w:left w:val="nil"/>
              <w:bottom w:val="nil"/>
              <w:right w:val="nil"/>
            </w:tcBorders>
            <w:shd w:val="clear" w:color="auto" w:fill="7F7F7F" w:themeFill="text1" w:themeFillTint="80"/>
            <w:vAlign w:val="center"/>
          </w:tcPr>
          <w:p w14:paraId="5F5994F3" w14:textId="77777777" w:rsidR="00977222" w:rsidRPr="00C06286" w:rsidRDefault="00977222" w:rsidP="006E49E2">
            <w:pPr>
              <w:jc w:val="center"/>
              <w:rPr>
                <w:rFonts w:cs="Arial"/>
                <w:b/>
                <w:color w:val="FFFFFF" w:themeColor="background1"/>
                <w:sz w:val="20"/>
                <w:szCs w:val="20"/>
              </w:rPr>
            </w:pPr>
            <w:r w:rsidRPr="00C06286">
              <w:rPr>
                <w:rFonts w:cs="Arial"/>
                <w:b/>
                <w:color w:val="FFFFFF" w:themeColor="background1"/>
                <w:sz w:val="20"/>
                <w:szCs w:val="20"/>
              </w:rPr>
              <w:t>Min-max</w:t>
            </w:r>
          </w:p>
        </w:tc>
        <w:tc>
          <w:tcPr>
            <w:tcW w:w="1555" w:type="dxa"/>
            <w:tcBorders>
              <w:top w:val="nil"/>
              <w:left w:val="nil"/>
              <w:bottom w:val="nil"/>
              <w:right w:val="nil"/>
            </w:tcBorders>
            <w:shd w:val="clear" w:color="auto" w:fill="7F7F7F" w:themeFill="text1" w:themeFillTint="80"/>
            <w:vAlign w:val="center"/>
          </w:tcPr>
          <w:p w14:paraId="0AB418E7" w14:textId="77777777" w:rsidR="00977222" w:rsidRPr="00C06286" w:rsidRDefault="00977222" w:rsidP="006E49E2">
            <w:pPr>
              <w:jc w:val="center"/>
              <w:rPr>
                <w:rFonts w:cs="Arial"/>
                <w:b/>
                <w:color w:val="FFFFFF" w:themeColor="background1"/>
                <w:sz w:val="20"/>
                <w:szCs w:val="20"/>
              </w:rPr>
            </w:pPr>
            <w:r w:rsidRPr="00C06286">
              <w:rPr>
                <w:rFonts w:cs="Arial"/>
                <w:b/>
                <w:color w:val="FFFFFF" w:themeColor="background1"/>
                <w:sz w:val="20"/>
                <w:szCs w:val="20"/>
              </w:rPr>
              <w:t>lower-upper</w:t>
            </w:r>
          </w:p>
        </w:tc>
      </w:tr>
      <w:tr w:rsidR="002216B8" w14:paraId="6B7E29F4" w14:textId="6BA26D20" w:rsidTr="004C2CA2">
        <w:trPr>
          <w:trHeight w:val="340"/>
        </w:trPr>
        <w:tc>
          <w:tcPr>
            <w:tcW w:w="2235" w:type="dxa"/>
            <w:gridSpan w:val="2"/>
            <w:tcBorders>
              <w:top w:val="nil"/>
              <w:left w:val="nil"/>
              <w:bottom w:val="nil"/>
              <w:right w:val="nil"/>
            </w:tcBorders>
            <w:vAlign w:val="bottom"/>
          </w:tcPr>
          <w:p w14:paraId="5E011B38" w14:textId="593DEFBE" w:rsidR="002216B8" w:rsidRPr="00595714" w:rsidRDefault="002216B8" w:rsidP="006E49E2">
            <w:pPr>
              <w:spacing w:after="40"/>
              <w:rPr>
                <w:rFonts w:cs="Arial"/>
                <w:color w:val="000000" w:themeColor="text1"/>
                <w:sz w:val="20"/>
                <w:szCs w:val="20"/>
              </w:rPr>
            </w:pPr>
            <w:r w:rsidRPr="00595714">
              <w:rPr>
                <w:rFonts w:cs="Arial"/>
                <w:color w:val="000000" w:themeColor="text1"/>
                <w:sz w:val="20"/>
                <w:szCs w:val="20"/>
              </w:rPr>
              <w:t>Phytic acid</w:t>
            </w:r>
          </w:p>
        </w:tc>
        <w:tc>
          <w:tcPr>
            <w:tcW w:w="1317" w:type="dxa"/>
            <w:tcBorders>
              <w:top w:val="nil"/>
              <w:left w:val="nil"/>
              <w:bottom w:val="nil"/>
              <w:right w:val="nil"/>
            </w:tcBorders>
            <w:vAlign w:val="center"/>
          </w:tcPr>
          <w:p w14:paraId="51416713" w14:textId="5F362FAB" w:rsidR="002216B8" w:rsidRPr="00595714" w:rsidRDefault="00595714" w:rsidP="00595714">
            <w:pPr>
              <w:pStyle w:val="Default"/>
              <w:jc w:val="center"/>
              <w:rPr>
                <w:sz w:val="18"/>
                <w:szCs w:val="18"/>
              </w:rPr>
            </w:pPr>
            <w:r>
              <w:rPr>
                <w:sz w:val="18"/>
                <w:szCs w:val="18"/>
              </w:rPr>
              <w:t xml:space="preserve">1.45 ± 0.25 </w:t>
            </w:r>
          </w:p>
        </w:tc>
        <w:tc>
          <w:tcPr>
            <w:tcW w:w="1302" w:type="dxa"/>
            <w:tcBorders>
              <w:top w:val="nil"/>
              <w:left w:val="nil"/>
              <w:bottom w:val="nil"/>
              <w:right w:val="nil"/>
            </w:tcBorders>
            <w:vAlign w:val="center"/>
          </w:tcPr>
          <w:p w14:paraId="551C26E2" w14:textId="60441FFB" w:rsidR="002216B8" w:rsidRPr="00595714" w:rsidRDefault="00595714" w:rsidP="00595714">
            <w:pPr>
              <w:pStyle w:val="Default"/>
              <w:jc w:val="center"/>
              <w:rPr>
                <w:sz w:val="18"/>
                <w:szCs w:val="18"/>
              </w:rPr>
            </w:pPr>
            <w:r>
              <w:rPr>
                <w:sz w:val="18"/>
                <w:szCs w:val="18"/>
              </w:rPr>
              <w:t xml:space="preserve">1.53 ± 0.23 </w:t>
            </w:r>
          </w:p>
        </w:tc>
        <w:tc>
          <w:tcPr>
            <w:tcW w:w="1287" w:type="dxa"/>
            <w:tcBorders>
              <w:top w:val="nil"/>
              <w:left w:val="nil"/>
              <w:bottom w:val="nil"/>
              <w:right w:val="nil"/>
            </w:tcBorders>
            <w:shd w:val="clear" w:color="auto" w:fill="C6D9F1" w:themeFill="text2" w:themeFillTint="33"/>
            <w:vAlign w:val="center"/>
          </w:tcPr>
          <w:p w14:paraId="340C83EB" w14:textId="1DB19F4F" w:rsidR="002216B8" w:rsidRPr="00595714" w:rsidRDefault="00595714" w:rsidP="00595714">
            <w:pPr>
              <w:pStyle w:val="Default"/>
              <w:jc w:val="center"/>
              <w:rPr>
                <w:sz w:val="18"/>
                <w:szCs w:val="18"/>
              </w:rPr>
            </w:pPr>
            <w:r w:rsidRPr="00595714">
              <w:rPr>
                <w:sz w:val="18"/>
                <w:szCs w:val="18"/>
                <w:shd w:val="clear" w:color="auto" w:fill="C6D9F1" w:themeFill="text2" w:themeFillTint="33"/>
              </w:rPr>
              <w:t>1.60 ± 0.25</w:t>
            </w:r>
            <w:r>
              <w:rPr>
                <w:sz w:val="18"/>
                <w:szCs w:val="18"/>
              </w:rPr>
              <w:t xml:space="preserve"> </w:t>
            </w:r>
          </w:p>
        </w:tc>
        <w:tc>
          <w:tcPr>
            <w:tcW w:w="1484" w:type="dxa"/>
            <w:gridSpan w:val="2"/>
            <w:tcBorders>
              <w:top w:val="nil"/>
              <w:left w:val="nil"/>
              <w:bottom w:val="nil"/>
              <w:right w:val="nil"/>
            </w:tcBorders>
            <w:vAlign w:val="center"/>
          </w:tcPr>
          <w:p w14:paraId="5F2DA3B6" w14:textId="1E3E6E95" w:rsidR="002216B8" w:rsidRPr="004D017A" w:rsidRDefault="004D017A" w:rsidP="004D017A">
            <w:pPr>
              <w:spacing w:after="40"/>
              <w:jc w:val="center"/>
              <w:rPr>
                <w:rFonts w:cs="Arial"/>
                <w:color w:val="000000" w:themeColor="text1"/>
                <w:sz w:val="18"/>
                <w:szCs w:val="20"/>
              </w:rPr>
            </w:pPr>
            <w:r>
              <w:rPr>
                <w:rFonts w:cs="Arial"/>
                <w:color w:val="000000" w:themeColor="text1"/>
                <w:sz w:val="18"/>
                <w:szCs w:val="20"/>
              </w:rPr>
              <w:t>0.88 – 2.11</w:t>
            </w:r>
          </w:p>
        </w:tc>
        <w:tc>
          <w:tcPr>
            <w:tcW w:w="1555" w:type="dxa"/>
            <w:tcBorders>
              <w:top w:val="nil"/>
              <w:left w:val="nil"/>
              <w:bottom w:val="nil"/>
              <w:right w:val="nil"/>
            </w:tcBorders>
            <w:vAlign w:val="center"/>
          </w:tcPr>
          <w:p w14:paraId="74EE790C" w14:textId="22505D41" w:rsidR="002216B8" w:rsidRPr="004D017A" w:rsidRDefault="004D017A" w:rsidP="004D017A">
            <w:pPr>
              <w:spacing w:after="40"/>
              <w:jc w:val="center"/>
              <w:rPr>
                <w:rFonts w:cs="Arial"/>
                <w:color w:val="000000" w:themeColor="text1"/>
                <w:sz w:val="18"/>
                <w:szCs w:val="20"/>
              </w:rPr>
            </w:pPr>
            <w:r>
              <w:rPr>
                <w:rFonts w:cs="Arial"/>
                <w:color w:val="000000" w:themeColor="text1"/>
                <w:sz w:val="18"/>
                <w:szCs w:val="20"/>
              </w:rPr>
              <w:t>0.77 – 2.26</w:t>
            </w:r>
          </w:p>
        </w:tc>
      </w:tr>
      <w:tr w:rsidR="002216B8" w14:paraId="5DA4C408" w14:textId="77777777" w:rsidTr="00595714">
        <w:trPr>
          <w:trHeight w:val="340"/>
        </w:trPr>
        <w:tc>
          <w:tcPr>
            <w:tcW w:w="2235" w:type="dxa"/>
            <w:gridSpan w:val="2"/>
            <w:tcBorders>
              <w:top w:val="nil"/>
              <w:left w:val="nil"/>
              <w:bottom w:val="nil"/>
              <w:right w:val="nil"/>
            </w:tcBorders>
            <w:shd w:val="clear" w:color="auto" w:fill="D9D9D9" w:themeFill="background1" w:themeFillShade="D9"/>
            <w:vAlign w:val="bottom"/>
          </w:tcPr>
          <w:p w14:paraId="318D8327" w14:textId="0FB5F5E3" w:rsidR="002216B8" w:rsidRPr="00595714" w:rsidRDefault="002216B8" w:rsidP="006E49E2">
            <w:pPr>
              <w:spacing w:after="40"/>
              <w:rPr>
                <w:rFonts w:cs="Arial"/>
                <w:color w:val="000000" w:themeColor="text1"/>
                <w:sz w:val="20"/>
                <w:szCs w:val="20"/>
              </w:rPr>
            </w:pPr>
            <w:r w:rsidRPr="00595714">
              <w:rPr>
                <w:rFonts w:cs="Arial"/>
                <w:color w:val="000000" w:themeColor="text1"/>
                <w:sz w:val="20"/>
                <w:szCs w:val="20"/>
              </w:rPr>
              <w:t>Lectins</w:t>
            </w:r>
          </w:p>
        </w:tc>
        <w:tc>
          <w:tcPr>
            <w:tcW w:w="1317" w:type="dxa"/>
            <w:tcBorders>
              <w:top w:val="nil"/>
              <w:left w:val="nil"/>
              <w:bottom w:val="nil"/>
              <w:right w:val="nil"/>
            </w:tcBorders>
            <w:shd w:val="clear" w:color="auto" w:fill="D9D9D9" w:themeFill="background1" w:themeFillShade="D9"/>
            <w:vAlign w:val="center"/>
          </w:tcPr>
          <w:p w14:paraId="1CED4410" w14:textId="7DC9884F" w:rsidR="002216B8" w:rsidRPr="00595714" w:rsidRDefault="00595714" w:rsidP="00595714">
            <w:pPr>
              <w:pStyle w:val="Default"/>
              <w:jc w:val="center"/>
              <w:rPr>
                <w:sz w:val="18"/>
                <w:szCs w:val="18"/>
              </w:rPr>
            </w:pPr>
            <w:r>
              <w:rPr>
                <w:sz w:val="18"/>
                <w:szCs w:val="18"/>
              </w:rPr>
              <w:t xml:space="preserve">2.54 ± 0.71 </w:t>
            </w:r>
          </w:p>
        </w:tc>
        <w:tc>
          <w:tcPr>
            <w:tcW w:w="1302" w:type="dxa"/>
            <w:tcBorders>
              <w:top w:val="nil"/>
              <w:left w:val="nil"/>
              <w:bottom w:val="nil"/>
              <w:right w:val="nil"/>
            </w:tcBorders>
            <w:shd w:val="clear" w:color="auto" w:fill="D9D9D9" w:themeFill="background1" w:themeFillShade="D9"/>
            <w:vAlign w:val="center"/>
          </w:tcPr>
          <w:p w14:paraId="5558EBEF" w14:textId="5369B68B" w:rsidR="002216B8" w:rsidRPr="00595714" w:rsidRDefault="00595714" w:rsidP="00595714">
            <w:pPr>
              <w:pStyle w:val="Default"/>
              <w:jc w:val="center"/>
              <w:rPr>
                <w:sz w:val="18"/>
                <w:szCs w:val="18"/>
              </w:rPr>
            </w:pPr>
            <w:r>
              <w:rPr>
                <w:sz w:val="18"/>
                <w:szCs w:val="18"/>
              </w:rPr>
              <w:t xml:space="preserve">2.44 ± 0.67 </w:t>
            </w:r>
          </w:p>
        </w:tc>
        <w:tc>
          <w:tcPr>
            <w:tcW w:w="1287" w:type="dxa"/>
            <w:tcBorders>
              <w:top w:val="nil"/>
              <w:left w:val="nil"/>
              <w:bottom w:val="nil"/>
              <w:right w:val="nil"/>
            </w:tcBorders>
            <w:shd w:val="clear" w:color="auto" w:fill="D9D9D9" w:themeFill="background1" w:themeFillShade="D9"/>
            <w:vAlign w:val="center"/>
          </w:tcPr>
          <w:p w14:paraId="4F600CA9" w14:textId="3714A398" w:rsidR="002216B8" w:rsidRPr="00595714" w:rsidRDefault="00595714" w:rsidP="00595714">
            <w:pPr>
              <w:pStyle w:val="Default"/>
              <w:jc w:val="center"/>
              <w:rPr>
                <w:sz w:val="18"/>
                <w:szCs w:val="18"/>
              </w:rPr>
            </w:pPr>
            <w:r>
              <w:rPr>
                <w:sz w:val="18"/>
                <w:szCs w:val="18"/>
              </w:rPr>
              <w:t xml:space="preserve">2.43 ± 0.76 </w:t>
            </w:r>
          </w:p>
        </w:tc>
        <w:tc>
          <w:tcPr>
            <w:tcW w:w="1484" w:type="dxa"/>
            <w:gridSpan w:val="2"/>
            <w:tcBorders>
              <w:top w:val="nil"/>
              <w:left w:val="nil"/>
              <w:bottom w:val="nil"/>
              <w:right w:val="nil"/>
            </w:tcBorders>
            <w:shd w:val="clear" w:color="auto" w:fill="D9D9D9" w:themeFill="background1" w:themeFillShade="D9"/>
            <w:vAlign w:val="center"/>
          </w:tcPr>
          <w:p w14:paraId="32D28B42" w14:textId="659A86F3" w:rsidR="002216B8" w:rsidRPr="004D017A" w:rsidRDefault="004D017A" w:rsidP="004D017A">
            <w:pPr>
              <w:spacing w:after="40"/>
              <w:jc w:val="center"/>
              <w:rPr>
                <w:rFonts w:cs="Arial"/>
                <w:color w:val="000000" w:themeColor="text1"/>
                <w:sz w:val="18"/>
                <w:szCs w:val="20"/>
              </w:rPr>
            </w:pPr>
            <w:r>
              <w:rPr>
                <w:rFonts w:cs="Arial"/>
                <w:color w:val="000000" w:themeColor="text1"/>
                <w:sz w:val="18"/>
                <w:szCs w:val="20"/>
              </w:rPr>
              <w:t>0.78 – 4.64</w:t>
            </w:r>
          </w:p>
        </w:tc>
        <w:tc>
          <w:tcPr>
            <w:tcW w:w="1555" w:type="dxa"/>
            <w:tcBorders>
              <w:top w:val="nil"/>
              <w:left w:val="nil"/>
              <w:bottom w:val="nil"/>
              <w:right w:val="nil"/>
            </w:tcBorders>
            <w:shd w:val="clear" w:color="auto" w:fill="D9D9D9" w:themeFill="background1" w:themeFillShade="D9"/>
            <w:vAlign w:val="center"/>
          </w:tcPr>
          <w:p w14:paraId="523530FA" w14:textId="3FFD01FF" w:rsidR="002216B8" w:rsidRPr="004D017A" w:rsidRDefault="004D017A" w:rsidP="004D017A">
            <w:pPr>
              <w:spacing w:after="40"/>
              <w:jc w:val="center"/>
              <w:rPr>
                <w:rFonts w:cs="Arial"/>
                <w:color w:val="000000" w:themeColor="text1"/>
                <w:sz w:val="18"/>
                <w:szCs w:val="20"/>
              </w:rPr>
            </w:pPr>
            <w:r w:rsidRPr="004D017A">
              <w:rPr>
                <w:rFonts w:cs="Arial"/>
                <w:color w:val="000000" w:themeColor="text1"/>
                <w:sz w:val="18"/>
                <w:szCs w:val="20"/>
              </w:rPr>
              <w:t>0.23 – 4.41</w:t>
            </w:r>
          </w:p>
        </w:tc>
      </w:tr>
      <w:tr w:rsidR="004D017A" w14:paraId="534C54B5" w14:textId="77777777" w:rsidTr="004D017A">
        <w:trPr>
          <w:trHeight w:val="340"/>
        </w:trPr>
        <w:tc>
          <w:tcPr>
            <w:tcW w:w="2235" w:type="dxa"/>
            <w:gridSpan w:val="2"/>
            <w:tcBorders>
              <w:top w:val="nil"/>
              <w:left w:val="nil"/>
              <w:bottom w:val="nil"/>
              <w:right w:val="nil"/>
            </w:tcBorders>
            <w:vAlign w:val="bottom"/>
          </w:tcPr>
          <w:p w14:paraId="1E9B1D7F" w14:textId="0EB71003" w:rsidR="004D017A" w:rsidRPr="00595714" w:rsidRDefault="004D017A" w:rsidP="004D017A">
            <w:pPr>
              <w:spacing w:after="40"/>
              <w:rPr>
                <w:rFonts w:cs="Arial"/>
                <w:color w:val="000000" w:themeColor="text1"/>
                <w:sz w:val="20"/>
                <w:szCs w:val="20"/>
              </w:rPr>
            </w:pPr>
            <w:r w:rsidRPr="00595714">
              <w:rPr>
                <w:rFonts w:cs="Arial"/>
                <w:color w:val="000000" w:themeColor="text1"/>
                <w:sz w:val="20"/>
                <w:szCs w:val="20"/>
              </w:rPr>
              <w:t>Raffinose</w:t>
            </w:r>
          </w:p>
        </w:tc>
        <w:tc>
          <w:tcPr>
            <w:tcW w:w="1317" w:type="dxa"/>
            <w:tcBorders>
              <w:top w:val="nil"/>
              <w:left w:val="nil"/>
              <w:bottom w:val="nil"/>
              <w:right w:val="nil"/>
            </w:tcBorders>
            <w:vAlign w:val="center"/>
          </w:tcPr>
          <w:p w14:paraId="3FC749EF" w14:textId="7754F587" w:rsidR="004D017A" w:rsidRPr="004D017A" w:rsidRDefault="004D017A" w:rsidP="004D017A">
            <w:pPr>
              <w:spacing w:after="40"/>
              <w:jc w:val="center"/>
              <w:rPr>
                <w:rFonts w:cs="Arial"/>
                <w:b/>
                <w:color w:val="000000" w:themeColor="text1"/>
                <w:sz w:val="18"/>
                <w:szCs w:val="20"/>
              </w:rPr>
            </w:pPr>
            <w:r w:rsidRPr="004D017A">
              <w:rPr>
                <w:sz w:val="18"/>
              </w:rPr>
              <w:t>1.02 ± 0.23</w:t>
            </w:r>
          </w:p>
        </w:tc>
        <w:tc>
          <w:tcPr>
            <w:tcW w:w="1302" w:type="dxa"/>
            <w:tcBorders>
              <w:top w:val="nil"/>
              <w:left w:val="nil"/>
              <w:bottom w:val="nil"/>
              <w:right w:val="nil"/>
            </w:tcBorders>
            <w:vAlign w:val="center"/>
          </w:tcPr>
          <w:p w14:paraId="5B6C2386" w14:textId="48BBE545" w:rsidR="004D017A" w:rsidRPr="004D017A" w:rsidRDefault="004D017A" w:rsidP="004D017A">
            <w:pPr>
              <w:spacing w:after="40"/>
              <w:jc w:val="center"/>
              <w:rPr>
                <w:rFonts w:cs="Arial"/>
                <w:b/>
                <w:color w:val="000000" w:themeColor="text1"/>
                <w:sz w:val="18"/>
                <w:szCs w:val="20"/>
              </w:rPr>
            </w:pPr>
            <w:r w:rsidRPr="004D017A">
              <w:rPr>
                <w:sz w:val="18"/>
              </w:rPr>
              <w:t>1.03 ± 0.26</w:t>
            </w:r>
          </w:p>
        </w:tc>
        <w:tc>
          <w:tcPr>
            <w:tcW w:w="1287" w:type="dxa"/>
            <w:tcBorders>
              <w:top w:val="nil"/>
              <w:left w:val="nil"/>
              <w:bottom w:val="nil"/>
              <w:right w:val="nil"/>
            </w:tcBorders>
            <w:vAlign w:val="center"/>
          </w:tcPr>
          <w:p w14:paraId="5E9BB361" w14:textId="065BC9D7" w:rsidR="004D017A" w:rsidRPr="004D017A" w:rsidRDefault="004D017A" w:rsidP="004D017A">
            <w:pPr>
              <w:spacing w:after="40"/>
              <w:jc w:val="center"/>
              <w:rPr>
                <w:rFonts w:cs="Arial"/>
                <w:b/>
                <w:color w:val="000000" w:themeColor="text1"/>
                <w:sz w:val="18"/>
                <w:szCs w:val="20"/>
              </w:rPr>
            </w:pPr>
            <w:r w:rsidRPr="004D017A">
              <w:rPr>
                <w:sz w:val="18"/>
              </w:rPr>
              <w:t>0.99 ± 0.21</w:t>
            </w:r>
          </w:p>
        </w:tc>
        <w:tc>
          <w:tcPr>
            <w:tcW w:w="1484" w:type="dxa"/>
            <w:gridSpan w:val="2"/>
            <w:tcBorders>
              <w:top w:val="nil"/>
              <w:left w:val="nil"/>
              <w:bottom w:val="nil"/>
              <w:right w:val="nil"/>
            </w:tcBorders>
            <w:vAlign w:val="center"/>
          </w:tcPr>
          <w:p w14:paraId="163D7911" w14:textId="546A9354" w:rsidR="004D017A" w:rsidRPr="004D017A" w:rsidRDefault="004D017A" w:rsidP="004D017A">
            <w:pPr>
              <w:spacing w:after="40"/>
              <w:jc w:val="center"/>
              <w:rPr>
                <w:rFonts w:cs="Arial"/>
                <w:b/>
                <w:color w:val="000000" w:themeColor="text1"/>
                <w:sz w:val="18"/>
                <w:szCs w:val="18"/>
              </w:rPr>
            </w:pPr>
            <w:r w:rsidRPr="004D017A">
              <w:rPr>
                <w:sz w:val="18"/>
                <w:szCs w:val="18"/>
              </w:rPr>
              <w:t>0.40 - 1.38</w:t>
            </w:r>
          </w:p>
        </w:tc>
        <w:tc>
          <w:tcPr>
            <w:tcW w:w="1555" w:type="dxa"/>
            <w:tcBorders>
              <w:top w:val="nil"/>
              <w:left w:val="nil"/>
              <w:bottom w:val="nil"/>
              <w:right w:val="nil"/>
            </w:tcBorders>
            <w:vAlign w:val="center"/>
          </w:tcPr>
          <w:p w14:paraId="4F5A3912" w14:textId="57F28A78" w:rsidR="004D017A" w:rsidRPr="004D017A" w:rsidRDefault="004D017A" w:rsidP="004D017A">
            <w:pPr>
              <w:spacing w:after="40"/>
              <w:jc w:val="center"/>
              <w:rPr>
                <w:rFonts w:cs="Arial"/>
                <w:b/>
                <w:color w:val="000000" w:themeColor="text1"/>
                <w:sz w:val="18"/>
                <w:szCs w:val="18"/>
              </w:rPr>
            </w:pPr>
            <w:r w:rsidRPr="004D017A">
              <w:rPr>
                <w:sz w:val="18"/>
                <w:szCs w:val="18"/>
              </w:rPr>
              <w:t>0.39 - 1.40</w:t>
            </w:r>
          </w:p>
        </w:tc>
      </w:tr>
      <w:tr w:rsidR="004D017A" w14:paraId="49A41FD5" w14:textId="77777777" w:rsidTr="00595714">
        <w:trPr>
          <w:trHeight w:val="340"/>
        </w:trPr>
        <w:tc>
          <w:tcPr>
            <w:tcW w:w="2235" w:type="dxa"/>
            <w:gridSpan w:val="2"/>
            <w:tcBorders>
              <w:top w:val="nil"/>
              <w:left w:val="nil"/>
              <w:bottom w:val="nil"/>
              <w:right w:val="nil"/>
            </w:tcBorders>
            <w:shd w:val="clear" w:color="auto" w:fill="D9D9D9" w:themeFill="background1" w:themeFillShade="D9"/>
            <w:vAlign w:val="bottom"/>
          </w:tcPr>
          <w:p w14:paraId="59BAFDC4" w14:textId="08664F08" w:rsidR="004D017A" w:rsidRPr="00595714" w:rsidRDefault="004D017A" w:rsidP="004D017A">
            <w:pPr>
              <w:spacing w:after="40"/>
              <w:rPr>
                <w:rFonts w:cs="Arial"/>
                <w:color w:val="000000" w:themeColor="text1"/>
                <w:sz w:val="20"/>
                <w:szCs w:val="20"/>
              </w:rPr>
            </w:pPr>
            <w:r w:rsidRPr="00595714">
              <w:rPr>
                <w:rFonts w:cs="Arial"/>
                <w:color w:val="000000" w:themeColor="text1"/>
                <w:sz w:val="20"/>
                <w:szCs w:val="20"/>
              </w:rPr>
              <w:t>Stachyose</w:t>
            </w:r>
          </w:p>
        </w:tc>
        <w:tc>
          <w:tcPr>
            <w:tcW w:w="1317" w:type="dxa"/>
            <w:tcBorders>
              <w:top w:val="nil"/>
              <w:left w:val="nil"/>
              <w:bottom w:val="nil"/>
              <w:right w:val="nil"/>
            </w:tcBorders>
            <w:shd w:val="clear" w:color="auto" w:fill="D9D9D9" w:themeFill="background1" w:themeFillShade="D9"/>
            <w:vAlign w:val="center"/>
          </w:tcPr>
          <w:p w14:paraId="75A62F4D" w14:textId="115C3C8C" w:rsidR="004D017A" w:rsidRPr="004D017A" w:rsidRDefault="004D017A" w:rsidP="004D017A">
            <w:pPr>
              <w:spacing w:after="40"/>
              <w:jc w:val="center"/>
              <w:rPr>
                <w:rFonts w:cs="Arial"/>
                <w:b/>
                <w:color w:val="000000" w:themeColor="text1"/>
                <w:sz w:val="18"/>
                <w:szCs w:val="20"/>
              </w:rPr>
            </w:pPr>
            <w:r w:rsidRPr="004D017A">
              <w:rPr>
                <w:sz w:val="18"/>
              </w:rPr>
              <w:t>3.18 ± 0.18</w:t>
            </w:r>
          </w:p>
        </w:tc>
        <w:tc>
          <w:tcPr>
            <w:tcW w:w="1302" w:type="dxa"/>
            <w:tcBorders>
              <w:top w:val="nil"/>
              <w:left w:val="nil"/>
              <w:bottom w:val="nil"/>
              <w:right w:val="nil"/>
            </w:tcBorders>
            <w:shd w:val="clear" w:color="auto" w:fill="D9D9D9" w:themeFill="background1" w:themeFillShade="D9"/>
            <w:vAlign w:val="center"/>
          </w:tcPr>
          <w:p w14:paraId="03719AC8" w14:textId="6B576367" w:rsidR="004D017A" w:rsidRPr="004D017A" w:rsidRDefault="004D017A" w:rsidP="004D017A">
            <w:pPr>
              <w:spacing w:after="40"/>
              <w:jc w:val="center"/>
              <w:rPr>
                <w:rFonts w:cs="Arial"/>
                <w:b/>
                <w:color w:val="000000" w:themeColor="text1"/>
                <w:sz w:val="18"/>
                <w:szCs w:val="20"/>
              </w:rPr>
            </w:pPr>
            <w:r w:rsidRPr="004D017A">
              <w:rPr>
                <w:sz w:val="18"/>
              </w:rPr>
              <w:t>3.18 ± 0.18</w:t>
            </w:r>
          </w:p>
        </w:tc>
        <w:tc>
          <w:tcPr>
            <w:tcW w:w="1287" w:type="dxa"/>
            <w:tcBorders>
              <w:top w:val="nil"/>
              <w:left w:val="nil"/>
              <w:bottom w:val="nil"/>
              <w:right w:val="nil"/>
            </w:tcBorders>
            <w:shd w:val="clear" w:color="auto" w:fill="D9D9D9" w:themeFill="background1" w:themeFillShade="D9"/>
            <w:vAlign w:val="center"/>
          </w:tcPr>
          <w:p w14:paraId="384B9D3C" w14:textId="0A5AE007" w:rsidR="004D017A" w:rsidRPr="004D017A" w:rsidRDefault="004D017A" w:rsidP="004D017A">
            <w:pPr>
              <w:spacing w:after="40"/>
              <w:jc w:val="center"/>
              <w:rPr>
                <w:rFonts w:cs="Arial"/>
                <w:b/>
                <w:color w:val="000000" w:themeColor="text1"/>
                <w:sz w:val="18"/>
                <w:szCs w:val="20"/>
              </w:rPr>
            </w:pPr>
            <w:r w:rsidRPr="004D017A">
              <w:rPr>
                <w:sz w:val="18"/>
              </w:rPr>
              <w:t>3.19 ± 0.25</w:t>
            </w:r>
          </w:p>
        </w:tc>
        <w:tc>
          <w:tcPr>
            <w:tcW w:w="1484" w:type="dxa"/>
            <w:gridSpan w:val="2"/>
            <w:tcBorders>
              <w:top w:val="nil"/>
              <w:left w:val="nil"/>
              <w:bottom w:val="nil"/>
              <w:right w:val="nil"/>
            </w:tcBorders>
            <w:shd w:val="clear" w:color="auto" w:fill="D9D9D9" w:themeFill="background1" w:themeFillShade="D9"/>
            <w:vAlign w:val="center"/>
          </w:tcPr>
          <w:p w14:paraId="47DBD193" w14:textId="17A2F302" w:rsidR="004D017A" w:rsidRPr="004D017A" w:rsidRDefault="004D017A" w:rsidP="004D017A">
            <w:pPr>
              <w:spacing w:after="40"/>
              <w:jc w:val="center"/>
              <w:rPr>
                <w:rFonts w:cs="Arial"/>
                <w:b/>
                <w:color w:val="000000" w:themeColor="text1"/>
                <w:sz w:val="18"/>
                <w:szCs w:val="18"/>
              </w:rPr>
            </w:pPr>
            <w:r w:rsidRPr="004D017A">
              <w:rPr>
                <w:sz w:val="18"/>
                <w:szCs w:val="18"/>
              </w:rPr>
              <w:t>2.59 - 4.50</w:t>
            </w:r>
          </w:p>
        </w:tc>
        <w:tc>
          <w:tcPr>
            <w:tcW w:w="1555" w:type="dxa"/>
            <w:tcBorders>
              <w:top w:val="nil"/>
              <w:left w:val="nil"/>
              <w:bottom w:val="nil"/>
              <w:right w:val="nil"/>
            </w:tcBorders>
            <w:shd w:val="clear" w:color="auto" w:fill="D9D9D9" w:themeFill="background1" w:themeFillShade="D9"/>
            <w:vAlign w:val="center"/>
          </w:tcPr>
          <w:p w14:paraId="5703D8E1" w14:textId="1338E2ED" w:rsidR="004D017A" w:rsidRPr="004D017A" w:rsidRDefault="004D017A" w:rsidP="004D017A">
            <w:pPr>
              <w:spacing w:after="40"/>
              <w:jc w:val="center"/>
              <w:rPr>
                <w:rFonts w:cs="Arial"/>
                <w:b/>
                <w:color w:val="000000" w:themeColor="text1"/>
                <w:sz w:val="18"/>
                <w:szCs w:val="18"/>
              </w:rPr>
            </w:pPr>
            <w:r w:rsidRPr="004D017A">
              <w:rPr>
                <w:sz w:val="18"/>
                <w:szCs w:val="18"/>
              </w:rPr>
              <w:t>2.40 - 4.53</w:t>
            </w:r>
          </w:p>
        </w:tc>
      </w:tr>
      <w:tr w:rsidR="004D017A" w14:paraId="2F891050" w14:textId="77777777" w:rsidTr="004D017A">
        <w:trPr>
          <w:trHeight w:val="340"/>
        </w:trPr>
        <w:tc>
          <w:tcPr>
            <w:tcW w:w="2235" w:type="dxa"/>
            <w:gridSpan w:val="2"/>
            <w:tcBorders>
              <w:top w:val="nil"/>
              <w:left w:val="nil"/>
              <w:bottom w:val="nil"/>
              <w:right w:val="nil"/>
            </w:tcBorders>
            <w:vAlign w:val="bottom"/>
          </w:tcPr>
          <w:p w14:paraId="256A8928" w14:textId="7A90772D" w:rsidR="004D017A" w:rsidRPr="00595714" w:rsidRDefault="004D017A" w:rsidP="004D017A">
            <w:pPr>
              <w:spacing w:after="40"/>
              <w:rPr>
                <w:rFonts w:cs="Arial"/>
                <w:color w:val="000000" w:themeColor="text1"/>
                <w:sz w:val="20"/>
                <w:szCs w:val="20"/>
              </w:rPr>
            </w:pPr>
            <w:r w:rsidRPr="00595714">
              <w:rPr>
                <w:rFonts w:cs="Arial"/>
                <w:color w:val="000000" w:themeColor="text1"/>
                <w:sz w:val="20"/>
                <w:szCs w:val="20"/>
              </w:rPr>
              <w:t>Trypsin inhibitor</w:t>
            </w:r>
          </w:p>
        </w:tc>
        <w:tc>
          <w:tcPr>
            <w:tcW w:w="1317" w:type="dxa"/>
            <w:tcBorders>
              <w:top w:val="nil"/>
              <w:left w:val="nil"/>
              <w:bottom w:val="nil"/>
              <w:right w:val="nil"/>
            </w:tcBorders>
            <w:vAlign w:val="center"/>
          </w:tcPr>
          <w:p w14:paraId="031C9AE7" w14:textId="1A8B8E1E" w:rsidR="004D017A" w:rsidRPr="004D017A" w:rsidRDefault="004D017A" w:rsidP="004D017A">
            <w:pPr>
              <w:spacing w:after="40"/>
              <w:jc w:val="center"/>
              <w:rPr>
                <w:rFonts w:cs="Arial"/>
                <w:b/>
                <w:color w:val="000000" w:themeColor="text1"/>
                <w:sz w:val="18"/>
                <w:szCs w:val="20"/>
              </w:rPr>
            </w:pPr>
            <w:r w:rsidRPr="004D017A">
              <w:rPr>
                <w:sz w:val="18"/>
              </w:rPr>
              <w:t>35.8 ± 5.66</w:t>
            </w:r>
          </w:p>
        </w:tc>
        <w:tc>
          <w:tcPr>
            <w:tcW w:w="1302" w:type="dxa"/>
            <w:tcBorders>
              <w:top w:val="nil"/>
              <w:left w:val="nil"/>
              <w:bottom w:val="nil"/>
              <w:right w:val="nil"/>
            </w:tcBorders>
            <w:vAlign w:val="center"/>
          </w:tcPr>
          <w:p w14:paraId="7B6F3B73" w14:textId="128D505F" w:rsidR="004D017A" w:rsidRPr="004D017A" w:rsidRDefault="004D017A" w:rsidP="004D017A">
            <w:pPr>
              <w:spacing w:after="40"/>
              <w:jc w:val="center"/>
              <w:rPr>
                <w:rFonts w:cs="Arial"/>
                <w:b/>
                <w:color w:val="000000" w:themeColor="text1"/>
                <w:sz w:val="18"/>
                <w:szCs w:val="20"/>
              </w:rPr>
            </w:pPr>
            <w:r w:rsidRPr="004D017A">
              <w:rPr>
                <w:sz w:val="18"/>
              </w:rPr>
              <w:t>35.9 ± 4.74</w:t>
            </w:r>
          </w:p>
        </w:tc>
        <w:tc>
          <w:tcPr>
            <w:tcW w:w="1287" w:type="dxa"/>
            <w:tcBorders>
              <w:top w:val="nil"/>
              <w:left w:val="nil"/>
              <w:bottom w:val="nil"/>
              <w:right w:val="nil"/>
            </w:tcBorders>
            <w:vAlign w:val="center"/>
          </w:tcPr>
          <w:p w14:paraId="75489912" w14:textId="5B511261" w:rsidR="004D017A" w:rsidRPr="004D017A" w:rsidRDefault="004D017A" w:rsidP="004D017A">
            <w:pPr>
              <w:spacing w:after="40"/>
              <w:jc w:val="center"/>
              <w:rPr>
                <w:rFonts w:cs="Arial"/>
                <w:b/>
                <w:color w:val="000000" w:themeColor="text1"/>
                <w:sz w:val="18"/>
                <w:szCs w:val="20"/>
              </w:rPr>
            </w:pPr>
            <w:r w:rsidRPr="004D017A">
              <w:rPr>
                <w:sz w:val="18"/>
              </w:rPr>
              <w:t>36.3 ± 5.88</w:t>
            </w:r>
          </w:p>
        </w:tc>
        <w:tc>
          <w:tcPr>
            <w:tcW w:w="1484" w:type="dxa"/>
            <w:gridSpan w:val="2"/>
            <w:tcBorders>
              <w:top w:val="nil"/>
              <w:left w:val="nil"/>
              <w:bottom w:val="nil"/>
              <w:right w:val="nil"/>
            </w:tcBorders>
            <w:vAlign w:val="center"/>
          </w:tcPr>
          <w:p w14:paraId="7D2546D7" w14:textId="61514002" w:rsidR="004D017A" w:rsidRPr="004D017A" w:rsidRDefault="004D017A" w:rsidP="004D017A">
            <w:pPr>
              <w:spacing w:after="40"/>
              <w:jc w:val="center"/>
              <w:rPr>
                <w:rFonts w:cs="Arial"/>
                <w:b/>
                <w:color w:val="000000" w:themeColor="text1"/>
                <w:sz w:val="18"/>
                <w:szCs w:val="18"/>
              </w:rPr>
            </w:pPr>
            <w:r w:rsidRPr="004D017A">
              <w:rPr>
                <w:sz w:val="18"/>
                <w:szCs w:val="18"/>
              </w:rPr>
              <w:t>18.1 - 41.8</w:t>
            </w:r>
          </w:p>
        </w:tc>
        <w:tc>
          <w:tcPr>
            <w:tcW w:w="1555" w:type="dxa"/>
            <w:tcBorders>
              <w:top w:val="nil"/>
              <w:left w:val="nil"/>
              <w:bottom w:val="nil"/>
              <w:right w:val="nil"/>
            </w:tcBorders>
            <w:vAlign w:val="center"/>
          </w:tcPr>
          <w:p w14:paraId="1A1B9753" w14:textId="03A20B19" w:rsidR="004D017A" w:rsidRPr="004D017A" w:rsidRDefault="004D017A" w:rsidP="004D017A">
            <w:pPr>
              <w:spacing w:after="40"/>
              <w:jc w:val="center"/>
              <w:rPr>
                <w:rFonts w:cs="Arial"/>
                <w:b/>
                <w:color w:val="000000" w:themeColor="text1"/>
                <w:sz w:val="18"/>
                <w:szCs w:val="18"/>
              </w:rPr>
            </w:pPr>
            <w:r w:rsidRPr="004D017A">
              <w:rPr>
                <w:sz w:val="18"/>
                <w:szCs w:val="18"/>
              </w:rPr>
              <w:t>15.1 - 44.4</w:t>
            </w:r>
          </w:p>
        </w:tc>
      </w:tr>
      <w:tr w:rsidR="00977222" w14:paraId="2D89019B" w14:textId="77777777" w:rsidTr="00595714">
        <w:trPr>
          <w:trHeight w:val="340"/>
        </w:trPr>
        <w:tc>
          <w:tcPr>
            <w:tcW w:w="9180" w:type="dxa"/>
            <w:gridSpan w:val="8"/>
            <w:tcBorders>
              <w:top w:val="nil"/>
              <w:left w:val="nil"/>
              <w:bottom w:val="nil"/>
              <w:right w:val="nil"/>
            </w:tcBorders>
            <w:shd w:val="clear" w:color="auto" w:fill="D9D9D9" w:themeFill="background1" w:themeFillShade="D9"/>
            <w:vAlign w:val="bottom"/>
          </w:tcPr>
          <w:p w14:paraId="492BB9F0" w14:textId="13F55FCD" w:rsidR="00977222" w:rsidRPr="00595714" w:rsidRDefault="002216B8" w:rsidP="006E49E2">
            <w:pPr>
              <w:spacing w:after="40"/>
              <w:rPr>
                <w:rFonts w:cs="Arial"/>
                <w:color w:val="000000" w:themeColor="text1"/>
                <w:sz w:val="20"/>
                <w:szCs w:val="20"/>
              </w:rPr>
            </w:pPr>
            <w:r w:rsidRPr="00595714">
              <w:rPr>
                <w:rFonts w:cs="Arial"/>
                <w:color w:val="000000" w:themeColor="text1"/>
                <w:sz w:val="20"/>
                <w:szCs w:val="20"/>
              </w:rPr>
              <w:t>Isoflavones</w:t>
            </w:r>
            <w:r w:rsidR="00977222" w:rsidRPr="00595714">
              <w:rPr>
                <w:rFonts w:cs="Arial"/>
                <w:color w:val="000000" w:themeColor="text1"/>
                <w:sz w:val="20"/>
                <w:szCs w:val="20"/>
              </w:rPr>
              <w:t xml:space="preserve"> (% DW)</w:t>
            </w:r>
          </w:p>
        </w:tc>
      </w:tr>
      <w:tr w:rsidR="00C06286" w14:paraId="457AF975" w14:textId="77777777" w:rsidTr="004D017A">
        <w:trPr>
          <w:trHeight w:val="340"/>
        </w:trPr>
        <w:tc>
          <w:tcPr>
            <w:tcW w:w="2224" w:type="dxa"/>
            <w:tcBorders>
              <w:top w:val="nil"/>
              <w:left w:val="nil"/>
              <w:bottom w:val="nil"/>
              <w:right w:val="nil"/>
            </w:tcBorders>
            <w:vAlign w:val="center"/>
          </w:tcPr>
          <w:p w14:paraId="7C0F73D7" w14:textId="7B48A654" w:rsidR="00C06286" w:rsidRPr="0071258E" w:rsidRDefault="00595714" w:rsidP="00C06286">
            <w:pPr>
              <w:rPr>
                <w:rFonts w:cs="Arial"/>
                <w:color w:val="000000" w:themeColor="text1"/>
                <w:sz w:val="20"/>
                <w:szCs w:val="20"/>
              </w:rPr>
            </w:pPr>
            <w:r>
              <w:rPr>
                <w:rFonts w:cs="Arial"/>
                <w:color w:val="000000" w:themeColor="text1"/>
                <w:sz w:val="20"/>
                <w:szCs w:val="20"/>
              </w:rPr>
              <w:t xml:space="preserve">  </w:t>
            </w:r>
            <w:r w:rsidR="00C06286">
              <w:rPr>
                <w:rFonts w:cs="Arial"/>
                <w:color w:val="000000" w:themeColor="text1"/>
                <w:sz w:val="20"/>
                <w:szCs w:val="20"/>
              </w:rPr>
              <w:t>Daidzein</w:t>
            </w:r>
          </w:p>
        </w:tc>
        <w:tc>
          <w:tcPr>
            <w:tcW w:w="1328" w:type="dxa"/>
            <w:gridSpan w:val="2"/>
            <w:tcBorders>
              <w:top w:val="nil"/>
              <w:left w:val="nil"/>
              <w:bottom w:val="nil"/>
              <w:right w:val="nil"/>
            </w:tcBorders>
            <w:vAlign w:val="center"/>
          </w:tcPr>
          <w:p w14:paraId="77DC0BD1" w14:textId="7C0655A0" w:rsidR="00C06286" w:rsidRPr="00C06286" w:rsidRDefault="00C06286" w:rsidP="00C06286">
            <w:pPr>
              <w:jc w:val="center"/>
              <w:rPr>
                <w:rFonts w:cs="Arial"/>
                <w:color w:val="000000" w:themeColor="text1"/>
                <w:sz w:val="18"/>
                <w:szCs w:val="18"/>
              </w:rPr>
            </w:pPr>
            <w:r w:rsidRPr="00C06286">
              <w:rPr>
                <w:sz w:val="18"/>
                <w:szCs w:val="18"/>
              </w:rPr>
              <w:t>850 ± 217</w:t>
            </w:r>
          </w:p>
        </w:tc>
        <w:tc>
          <w:tcPr>
            <w:tcW w:w="1302" w:type="dxa"/>
            <w:tcBorders>
              <w:top w:val="nil"/>
              <w:left w:val="nil"/>
              <w:bottom w:val="nil"/>
              <w:right w:val="nil"/>
            </w:tcBorders>
            <w:shd w:val="clear" w:color="auto" w:fill="C6D9F1" w:themeFill="text2" w:themeFillTint="33"/>
            <w:vAlign w:val="center"/>
          </w:tcPr>
          <w:p w14:paraId="4FBE55EC" w14:textId="2A78BF0B" w:rsidR="00C06286" w:rsidRPr="00C06286" w:rsidRDefault="00C06286" w:rsidP="00C06286">
            <w:pPr>
              <w:jc w:val="center"/>
              <w:rPr>
                <w:rFonts w:cs="Arial"/>
                <w:color w:val="000000" w:themeColor="text1"/>
                <w:sz w:val="18"/>
                <w:szCs w:val="18"/>
              </w:rPr>
            </w:pPr>
            <w:r w:rsidRPr="00C06286">
              <w:rPr>
                <w:sz w:val="18"/>
                <w:szCs w:val="18"/>
              </w:rPr>
              <w:t>712 ± 199</w:t>
            </w:r>
          </w:p>
        </w:tc>
        <w:tc>
          <w:tcPr>
            <w:tcW w:w="1295" w:type="dxa"/>
            <w:gridSpan w:val="2"/>
            <w:tcBorders>
              <w:top w:val="nil"/>
              <w:left w:val="nil"/>
              <w:bottom w:val="nil"/>
              <w:right w:val="nil"/>
            </w:tcBorders>
            <w:shd w:val="clear" w:color="auto" w:fill="C6D9F1" w:themeFill="text2" w:themeFillTint="33"/>
            <w:vAlign w:val="center"/>
          </w:tcPr>
          <w:p w14:paraId="53F32875" w14:textId="5BBA37CE" w:rsidR="00C06286" w:rsidRPr="00C06286" w:rsidRDefault="00C06286" w:rsidP="00C06286">
            <w:pPr>
              <w:jc w:val="center"/>
              <w:rPr>
                <w:rFonts w:cs="Arial"/>
                <w:color w:val="000000" w:themeColor="text1"/>
                <w:sz w:val="18"/>
                <w:szCs w:val="18"/>
              </w:rPr>
            </w:pPr>
            <w:r w:rsidRPr="00C06286">
              <w:rPr>
                <w:sz w:val="18"/>
                <w:szCs w:val="18"/>
              </w:rPr>
              <w:t>709 ± 203</w:t>
            </w:r>
          </w:p>
        </w:tc>
        <w:tc>
          <w:tcPr>
            <w:tcW w:w="1476" w:type="dxa"/>
            <w:tcBorders>
              <w:top w:val="nil"/>
              <w:left w:val="nil"/>
              <w:bottom w:val="nil"/>
              <w:right w:val="nil"/>
            </w:tcBorders>
            <w:vAlign w:val="center"/>
          </w:tcPr>
          <w:p w14:paraId="3263F5A9" w14:textId="34C1CB3A" w:rsidR="00C06286" w:rsidRPr="00C06286" w:rsidRDefault="00C06286" w:rsidP="00C06286">
            <w:pPr>
              <w:jc w:val="center"/>
              <w:rPr>
                <w:rFonts w:cs="Arial"/>
                <w:color w:val="000000" w:themeColor="text1"/>
                <w:sz w:val="18"/>
                <w:szCs w:val="18"/>
              </w:rPr>
            </w:pPr>
            <w:r w:rsidRPr="00C06286">
              <w:rPr>
                <w:sz w:val="18"/>
                <w:szCs w:val="18"/>
              </w:rPr>
              <w:t>380 - 1696</w:t>
            </w:r>
          </w:p>
        </w:tc>
        <w:tc>
          <w:tcPr>
            <w:tcW w:w="1555" w:type="dxa"/>
            <w:tcBorders>
              <w:top w:val="nil"/>
              <w:left w:val="nil"/>
              <w:bottom w:val="nil"/>
              <w:right w:val="nil"/>
            </w:tcBorders>
            <w:vAlign w:val="center"/>
          </w:tcPr>
          <w:p w14:paraId="3FD4101D" w14:textId="27BFDA83" w:rsidR="00C06286" w:rsidRPr="00C06286" w:rsidRDefault="00C06286" w:rsidP="00C06286">
            <w:pPr>
              <w:jc w:val="center"/>
              <w:rPr>
                <w:rFonts w:cs="Arial"/>
                <w:color w:val="000000" w:themeColor="text1"/>
                <w:sz w:val="18"/>
                <w:szCs w:val="18"/>
              </w:rPr>
            </w:pPr>
            <w:r w:rsidRPr="00C06286">
              <w:rPr>
                <w:sz w:val="18"/>
                <w:szCs w:val="18"/>
              </w:rPr>
              <w:t>0 - 1788</w:t>
            </w:r>
          </w:p>
        </w:tc>
      </w:tr>
      <w:tr w:rsidR="00C06286" w14:paraId="1475A0DF" w14:textId="77777777" w:rsidTr="00595714">
        <w:trPr>
          <w:trHeight w:val="340"/>
        </w:trPr>
        <w:tc>
          <w:tcPr>
            <w:tcW w:w="2224" w:type="dxa"/>
            <w:tcBorders>
              <w:top w:val="nil"/>
              <w:left w:val="nil"/>
              <w:bottom w:val="nil"/>
              <w:right w:val="nil"/>
            </w:tcBorders>
            <w:shd w:val="clear" w:color="auto" w:fill="D9D9D9" w:themeFill="background1" w:themeFillShade="D9"/>
            <w:vAlign w:val="center"/>
          </w:tcPr>
          <w:p w14:paraId="6B7D2BC5" w14:textId="3230F777" w:rsidR="00C06286" w:rsidRDefault="00595714" w:rsidP="00C06286">
            <w:pPr>
              <w:rPr>
                <w:rFonts w:cs="Arial"/>
                <w:color w:val="000000" w:themeColor="text1"/>
                <w:sz w:val="20"/>
                <w:szCs w:val="20"/>
              </w:rPr>
            </w:pPr>
            <w:r>
              <w:rPr>
                <w:rFonts w:cs="Arial"/>
                <w:color w:val="000000" w:themeColor="text1"/>
                <w:sz w:val="20"/>
                <w:szCs w:val="20"/>
              </w:rPr>
              <w:t xml:space="preserve">  </w:t>
            </w:r>
            <w:r w:rsidR="00C06286">
              <w:rPr>
                <w:rFonts w:cs="Arial"/>
                <w:color w:val="000000" w:themeColor="text1"/>
                <w:sz w:val="20"/>
                <w:szCs w:val="20"/>
              </w:rPr>
              <w:t>Genistein</w:t>
            </w:r>
          </w:p>
        </w:tc>
        <w:tc>
          <w:tcPr>
            <w:tcW w:w="1328" w:type="dxa"/>
            <w:gridSpan w:val="2"/>
            <w:tcBorders>
              <w:top w:val="nil"/>
              <w:left w:val="nil"/>
              <w:bottom w:val="nil"/>
              <w:right w:val="nil"/>
            </w:tcBorders>
            <w:shd w:val="clear" w:color="auto" w:fill="D9D9D9" w:themeFill="background1" w:themeFillShade="D9"/>
            <w:vAlign w:val="center"/>
          </w:tcPr>
          <w:p w14:paraId="3C0507D9" w14:textId="1A0FE8AB" w:rsidR="00C06286" w:rsidRPr="00C06286" w:rsidRDefault="00C06286" w:rsidP="00C06286">
            <w:pPr>
              <w:jc w:val="center"/>
              <w:rPr>
                <w:rFonts w:cs="Arial"/>
                <w:color w:val="000000" w:themeColor="text1"/>
                <w:sz w:val="18"/>
                <w:szCs w:val="18"/>
              </w:rPr>
            </w:pPr>
            <w:r w:rsidRPr="00C06286">
              <w:rPr>
                <w:sz w:val="18"/>
                <w:szCs w:val="18"/>
              </w:rPr>
              <w:t>808 ± 211</w:t>
            </w:r>
          </w:p>
        </w:tc>
        <w:tc>
          <w:tcPr>
            <w:tcW w:w="1302" w:type="dxa"/>
            <w:tcBorders>
              <w:top w:val="nil"/>
              <w:left w:val="nil"/>
              <w:bottom w:val="nil"/>
              <w:right w:val="nil"/>
            </w:tcBorders>
            <w:shd w:val="clear" w:color="auto" w:fill="C6D9F1" w:themeFill="text2" w:themeFillTint="33"/>
            <w:vAlign w:val="center"/>
          </w:tcPr>
          <w:p w14:paraId="280ADD3C" w14:textId="7545CCF4" w:rsidR="00C06286" w:rsidRPr="00C06286" w:rsidRDefault="00C06286" w:rsidP="00C06286">
            <w:pPr>
              <w:jc w:val="center"/>
              <w:rPr>
                <w:rFonts w:cs="Arial"/>
                <w:color w:val="000000" w:themeColor="text1"/>
                <w:sz w:val="18"/>
                <w:szCs w:val="18"/>
              </w:rPr>
            </w:pPr>
            <w:r w:rsidRPr="00C06286">
              <w:rPr>
                <w:sz w:val="18"/>
                <w:szCs w:val="18"/>
              </w:rPr>
              <w:t>690 ± 192</w:t>
            </w:r>
          </w:p>
        </w:tc>
        <w:tc>
          <w:tcPr>
            <w:tcW w:w="1295" w:type="dxa"/>
            <w:gridSpan w:val="2"/>
            <w:tcBorders>
              <w:top w:val="nil"/>
              <w:left w:val="nil"/>
              <w:bottom w:val="nil"/>
              <w:right w:val="nil"/>
            </w:tcBorders>
            <w:shd w:val="clear" w:color="auto" w:fill="C6D9F1" w:themeFill="text2" w:themeFillTint="33"/>
            <w:vAlign w:val="center"/>
          </w:tcPr>
          <w:p w14:paraId="43D612A0" w14:textId="11FBD41F" w:rsidR="00C06286" w:rsidRPr="00C06286" w:rsidRDefault="00C06286" w:rsidP="00C06286">
            <w:pPr>
              <w:jc w:val="center"/>
              <w:rPr>
                <w:rFonts w:cs="Arial"/>
                <w:color w:val="000000" w:themeColor="text1"/>
                <w:sz w:val="18"/>
                <w:szCs w:val="18"/>
              </w:rPr>
            </w:pPr>
            <w:r w:rsidRPr="00C06286">
              <w:rPr>
                <w:sz w:val="18"/>
                <w:szCs w:val="18"/>
              </w:rPr>
              <w:t>703 ± 211</w:t>
            </w:r>
          </w:p>
        </w:tc>
        <w:tc>
          <w:tcPr>
            <w:tcW w:w="1476" w:type="dxa"/>
            <w:tcBorders>
              <w:top w:val="nil"/>
              <w:left w:val="nil"/>
              <w:bottom w:val="nil"/>
              <w:right w:val="nil"/>
            </w:tcBorders>
            <w:shd w:val="clear" w:color="auto" w:fill="D9D9D9" w:themeFill="background1" w:themeFillShade="D9"/>
            <w:vAlign w:val="center"/>
          </w:tcPr>
          <w:p w14:paraId="06955713" w14:textId="099E3A8D" w:rsidR="00C06286" w:rsidRPr="00C06286" w:rsidRDefault="00C06286" w:rsidP="00C06286">
            <w:pPr>
              <w:jc w:val="center"/>
              <w:rPr>
                <w:rFonts w:cs="Arial"/>
                <w:color w:val="000000" w:themeColor="text1"/>
                <w:sz w:val="18"/>
                <w:szCs w:val="18"/>
              </w:rPr>
            </w:pPr>
            <w:r w:rsidRPr="00C06286">
              <w:rPr>
                <w:sz w:val="18"/>
                <w:szCs w:val="18"/>
              </w:rPr>
              <w:t>428 - 1498</w:t>
            </w:r>
          </w:p>
        </w:tc>
        <w:tc>
          <w:tcPr>
            <w:tcW w:w="1555" w:type="dxa"/>
            <w:tcBorders>
              <w:top w:val="nil"/>
              <w:left w:val="nil"/>
              <w:bottom w:val="nil"/>
              <w:right w:val="nil"/>
            </w:tcBorders>
            <w:shd w:val="clear" w:color="auto" w:fill="D9D9D9" w:themeFill="background1" w:themeFillShade="D9"/>
            <w:vAlign w:val="center"/>
          </w:tcPr>
          <w:p w14:paraId="2A3A2A4D" w14:textId="3649598C" w:rsidR="00C06286" w:rsidRPr="00C06286" w:rsidRDefault="00C06286" w:rsidP="00C06286">
            <w:pPr>
              <w:jc w:val="center"/>
              <w:rPr>
                <w:rFonts w:cs="Arial"/>
                <w:color w:val="000000" w:themeColor="text1"/>
                <w:sz w:val="18"/>
                <w:szCs w:val="18"/>
              </w:rPr>
            </w:pPr>
            <w:r w:rsidRPr="00C06286">
              <w:rPr>
                <w:sz w:val="18"/>
                <w:szCs w:val="18"/>
              </w:rPr>
              <w:t>236 - 1582</w:t>
            </w:r>
          </w:p>
        </w:tc>
      </w:tr>
      <w:tr w:rsidR="00C06286" w14:paraId="47F4A237" w14:textId="77777777" w:rsidTr="004D017A">
        <w:trPr>
          <w:trHeight w:val="340"/>
        </w:trPr>
        <w:tc>
          <w:tcPr>
            <w:tcW w:w="2224" w:type="dxa"/>
            <w:tcBorders>
              <w:top w:val="nil"/>
              <w:left w:val="nil"/>
              <w:bottom w:val="nil"/>
              <w:right w:val="nil"/>
            </w:tcBorders>
            <w:vAlign w:val="center"/>
          </w:tcPr>
          <w:p w14:paraId="5B9B6366" w14:textId="3B0C5797" w:rsidR="00C06286" w:rsidRDefault="00595714" w:rsidP="00C06286">
            <w:pPr>
              <w:rPr>
                <w:rFonts w:cs="Arial"/>
                <w:color w:val="000000" w:themeColor="text1"/>
                <w:sz w:val="20"/>
                <w:szCs w:val="20"/>
              </w:rPr>
            </w:pPr>
            <w:r>
              <w:rPr>
                <w:rFonts w:cs="Arial"/>
                <w:color w:val="000000" w:themeColor="text1"/>
                <w:sz w:val="20"/>
                <w:szCs w:val="20"/>
              </w:rPr>
              <w:t xml:space="preserve">  </w:t>
            </w:r>
            <w:r w:rsidR="00C06286">
              <w:rPr>
                <w:rFonts w:cs="Arial"/>
                <w:color w:val="000000" w:themeColor="text1"/>
                <w:sz w:val="20"/>
                <w:szCs w:val="20"/>
              </w:rPr>
              <w:t xml:space="preserve">Glycitein </w:t>
            </w:r>
          </w:p>
        </w:tc>
        <w:tc>
          <w:tcPr>
            <w:tcW w:w="1328" w:type="dxa"/>
            <w:gridSpan w:val="2"/>
            <w:tcBorders>
              <w:top w:val="nil"/>
              <w:left w:val="nil"/>
              <w:bottom w:val="nil"/>
              <w:right w:val="nil"/>
            </w:tcBorders>
            <w:vAlign w:val="center"/>
          </w:tcPr>
          <w:p w14:paraId="73412C79" w14:textId="6F5DA03D" w:rsidR="00C06286" w:rsidRPr="00C06286" w:rsidRDefault="00C06286" w:rsidP="00C06286">
            <w:pPr>
              <w:jc w:val="center"/>
              <w:rPr>
                <w:rFonts w:cs="Arial"/>
                <w:color w:val="000000" w:themeColor="text1"/>
                <w:sz w:val="18"/>
                <w:szCs w:val="18"/>
              </w:rPr>
            </w:pPr>
            <w:r w:rsidRPr="00C06286">
              <w:rPr>
                <w:sz w:val="18"/>
                <w:szCs w:val="18"/>
              </w:rPr>
              <w:t>160 ± 29.0</w:t>
            </w:r>
          </w:p>
        </w:tc>
        <w:tc>
          <w:tcPr>
            <w:tcW w:w="1302" w:type="dxa"/>
            <w:tcBorders>
              <w:top w:val="nil"/>
              <w:left w:val="nil"/>
              <w:bottom w:val="nil"/>
              <w:right w:val="nil"/>
            </w:tcBorders>
            <w:shd w:val="clear" w:color="auto" w:fill="C6D9F1" w:themeFill="text2" w:themeFillTint="33"/>
            <w:vAlign w:val="center"/>
          </w:tcPr>
          <w:p w14:paraId="265417CB" w14:textId="11D4A32E" w:rsidR="00C06286" w:rsidRPr="00C06286" w:rsidRDefault="00C06286" w:rsidP="00C06286">
            <w:pPr>
              <w:jc w:val="center"/>
              <w:rPr>
                <w:rFonts w:cs="Arial"/>
                <w:color w:val="000000" w:themeColor="text1"/>
                <w:sz w:val="18"/>
                <w:szCs w:val="18"/>
              </w:rPr>
            </w:pPr>
            <w:r w:rsidRPr="00C06286">
              <w:rPr>
                <w:sz w:val="18"/>
                <w:szCs w:val="18"/>
              </w:rPr>
              <w:t>136 ± 32.2</w:t>
            </w:r>
          </w:p>
        </w:tc>
        <w:tc>
          <w:tcPr>
            <w:tcW w:w="1295" w:type="dxa"/>
            <w:gridSpan w:val="2"/>
            <w:tcBorders>
              <w:top w:val="nil"/>
              <w:left w:val="nil"/>
              <w:bottom w:val="nil"/>
              <w:right w:val="nil"/>
            </w:tcBorders>
            <w:shd w:val="clear" w:color="auto" w:fill="C6D9F1" w:themeFill="text2" w:themeFillTint="33"/>
            <w:vAlign w:val="center"/>
          </w:tcPr>
          <w:p w14:paraId="032187B7" w14:textId="05056D86" w:rsidR="00C06286" w:rsidRPr="00C06286" w:rsidRDefault="00C06286" w:rsidP="00C06286">
            <w:pPr>
              <w:jc w:val="center"/>
              <w:rPr>
                <w:rFonts w:cs="Arial"/>
                <w:color w:val="000000" w:themeColor="text1"/>
                <w:sz w:val="18"/>
                <w:szCs w:val="18"/>
              </w:rPr>
            </w:pPr>
            <w:r w:rsidRPr="00C06286">
              <w:rPr>
                <w:sz w:val="18"/>
                <w:szCs w:val="18"/>
              </w:rPr>
              <w:t>134 ± 18.2</w:t>
            </w:r>
          </w:p>
        </w:tc>
        <w:tc>
          <w:tcPr>
            <w:tcW w:w="1476" w:type="dxa"/>
            <w:tcBorders>
              <w:top w:val="nil"/>
              <w:left w:val="nil"/>
              <w:bottom w:val="nil"/>
              <w:right w:val="nil"/>
            </w:tcBorders>
            <w:vAlign w:val="center"/>
          </w:tcPr>
          <w:p w14:paraId="3860171A" w14:textId="1638FBD5" w:rsidR="00C06286" w:rsidRPr="00C06286" w:rsidRDefault="00C06286" w:rsidP="00C06286">
            <w:pPr>
              <w:jc w:val="center"/>
              <w:rPr>
                <w:rFonts w:cs="Arial"/>
                <w:color w:val="000000" w:themeColor="text1"/>
                <w:sz w:val="18"/>
                <w:szCs w:val="18"/>
              </w:rPr>
            </w:pPr>
            <w:r w:rsidRPr="00C06286">
              <w:rPr>
                <w:sz w:val="18"/>
                <w:szCs w:val="18"/>
              </w:rPr>
              <w:t>102 - 350</w:t>
            </w:r>
          </w:p>
        </w:tc>
        <w:tc>
          <w:tcPr>
            <w:tcW w:w="1555" w:type="dxa"/>
            <w:tcBorders>
              <w:top w:val="nil"/>
              <w:left w:val="nil"/>
              <w:bottom w:val="nil"/>
              <w:right w:val="nil"/>
            </w:tcBorders>
            <w:vAlign w:val="center"/>
          </w:tcPr>
          <w:p w14:paraId="59630CF3" w14:textId="23141DD8" w:rsidR="00C06286" w:rsidRPr="00C06286" w:rsidRDefault="00C06286" w:rsidP="00C06286">
            <w:pPr>
              <w:jc w:val="center"/>
              <w:rPr>
                <w:rFonts w:cs="Arial"/>
                <w:color w:val="000000" w:themeColor="text1"/>
                <w:sz w:val="18"/>
                <w:szCs w:val="18"/>
              </w:rPr>
            </w:pPr>
            <w:r w:rsidRPr="00C06286">
              <w:rPr>
                <w:sz w:val="18"/>
                <w:szCs w:val="18"/>
              </w:rPr>
              <w:t>24 - 320</w:t>
            </w:r>
          </w:p>
        </w:tc>
      </w:tr>
      <w:tr w:rsidR="00C06286" w14:paraId="2E799D6F" w14:textId="77777777" w:rsidTr="00595714">
        <w:trPr>
          <w:trHeight w:val="340"/>
        </w:trPr>
        <w:tc>
          <w:tcPr>
            <w:tcW w:w="2224" w:type="dxa"/>
            <w:tcBorders>
              <w:top w:val="nil"/>
              <w:left w:val="nil"/>
              <w:bottom w:val="nil"/>
              <w:right w:val="nil"/>
            </w:tcBorders>
            <w:shd w:val="clear" w:color="auto" w:fill="D9D9D9" w:themeFill="background1" w:themeFillShade="D9"/>
            <w:vAlign w:val="center"/>
          </w:tcPr>
          <w:p w14:paraId="19C0DDF0" w14:textId="4D5B22DA" w:rsidR="00C06286" w:rsidRPr="0071258E" w:rsidRDefault="00595714" w:rsidP="00C06286">
            <w:pPr>
              <w:rPr>
                <w:rFonts w:cs="Arial"/>
                <w:color w:val="000000" w:themeColor="text1"/>
                <w:sz w:val="20"/>
                <w:szCs w:val="20"/>
              </w:rPr>
            </w:pPr>
            <w:r>
              <w:rPr>
                <w:rFonts w:cs="Arial"/>
                <w:color w:val="000000" w:themeColor="text1"/>
                <w:sz w:val="20"/>
                <w:szCs w:val="20"/>
              </w:rPr>
              <w:t xml:space="preserve">  </w:t>
            </w:r>
            <w:r w:rsidR="00C06286">
              <w:rPr>
                <w:rFonts w:cs="Arial"/>
                <w:color w:val="000000" w:themeColor="text1"/>
                <w:sz w:val="20"/>
                <w:szCs w:val="20"/>
              </w:rPr>
              <w:t>Total isoflavones</w:t>
            </w:r>
          </w:p>
        </w:tc>
        <w:tc>
          <w:tcPr>
            <w:tcW w:w="1328" w:type="dxa"/>
            <w:gridSpan w:val="2"/>
            <w:tcBorders>
              <w:top w:val="nil"/>
              <w:left w:val="nil"/>
              <w:bottom w:val="nil"/>
              <w:right w:val="nil"/>
            </w:tcBorders>
            <w:shd w:val="clear" w:color="auto" w:fill="D9D9D9" w:themeFill="background1" w:themeFillShade="D9"/>
            <w:vAlign w:val="center"/>
          </w:tcPr>
          <w:p w14:paraId="170F1143" w14:textId="75D9463C" w:rsidR="00C06286" w:rsidRPr="00C06286" w:rsidRDefault="00C06286" w:rsidP="00C06286">
            <w:pPr>
              <w:jc w:val="center"/>
              <w:rPr>
                <w:rFonts w:cs="Arial"/>
                <w:color w:val="000000" w:themeColor="text1"/>
                <w:sz w:val="18"/>
                <w:szCs w:val="18"/>
              </w:rPr>
            </w:pPr>
            <w:r w:rsidRPr="00C06286">
              <w:rPr>
                <w:sz w:val="18"/>
                <w:szCs w:val="18"/>
              </w:rPr>
              <w:t>1818 ± 436</w:t>
            </w:r>
          </w:p>
        </w:tc>
        <w:tc>
          <w:tcPr>
            <w:tcW w:w="1302" w:type="dxa"/>
            <w:tcBorders>
              <w:top w:val="nil"/>
              <w:left w:val="nil"/>
              <w:bottom w:val="nil"/>
              <w:right w:val="nil"/>
            </w:tcBorders>
            <w:shd w:val="clear" w:color="auto" w:fill="C6D9F1" w:themeFill="text2" w:themeFillTint="33"/>
            <w:vAlign w:val="center"/>
          </w:tcPr>
          <w:p w14:paraId="3815FF59" w14:textId="2584DCFA" w:rsidR="00C06286" w:rsidRPr="00C06286" w:rsidRDefault="00C06286" w:rsidP="00C06286">
            <w:pPr>
              <w:jc w:val="center"/>
              <w:rPr>
                <w:rFonts w:cs="Arial"/>
                <w:color w:val="000000" w:themeColor="text1"/>
                <w:sz w:val="18"/>
                <w:szCs w:val="18"/>
              </w:rPr>
            </w:pPr>
            <w:r w:rsidRPr="00C06286">
              <w:rPr>
                <w:sz w:val="18"/>
                <w:szCs w:val="18"/>
              </w:rPr>
              <w:t>1538 ± 396</w:t>
            </w:r>
          </w:p>
        </w:tc>
        <w:tc>
          <w:tcPr>
            <w:tcW w:w="1295" w:type="dxa"/>
            <w:gridSpan w:val="2"/>
            <w:tcBorders>
              <w:top w:val="nil"/>
              <w:left w:val="nil"/>
              <w:bottom w:val="nil"/>
              <w:right w:val="nil"/>
            </w:tcBorders>
            <w:shd w:val="clear" w:color="auto" w:fill="C6D9F1" w:themeFill="text2" w:themeFillTint="33"/>
            <w:vAlign w:val="center"/>
          </w:tcPr>
          <w:p w14:paraId="3EF1C22A" w14:textId="3C47735D" w:rsidR="00C06286" w:rsidRPr="00C06286" w:rsidRDefault="00C06286" w:rsidP="00C06286">
            <w:pPr>
              <w:jc w:val="center"/>
              <w:rPr>
                <w:rFonts w:cs="Arial"/>
                <w:color w:val="000000" w:themeColor="text1"/>
                <w:sz w:val="18"/>
                <w:szCs w:val="18"/>
              </w:rPr>
            </w:pPr>
            <w:r w:rsidRPr="00C06286">
              <w:rPr>
                <w:sz w:val="18"/>
                <w:szCs w:val="18"/>
              </w:rPr>
              <w:t>1546 ± 421</w:t>
            </w:r>
          </w:p>
        </w:tc>
        <w:tc>
          <w:tcPr>
            <w:tcW w:w="1476" w:type="dxa"/>
            <w:tcBorders>
              <w:top w:val="nil"/>
              <w:left w:val="nil"/>
              <w:bottom w:val="nil"/>
              <w:right w:val="nil"/>
            </w:tcBorders>
            <w:shd w:val="clear" w:color="auto" w:fill="D9D9D9" w:themeFill="background1" w:themeFillShade="D9"/>
            <w:vAlign w:val="center"/>
          </w:tcPr>
          <w:p w14:paraId="5BB28E03" w14:textId="2321CE3B" w:rsidR="00C06286" w:rsidRPr="00C06286" w:rsidRDefault="00C06286" w:rsidP="00C06286">
            <w:pPr>
              <w:jc w:val="center"/>
              <w:rPr>
                <w:rFonts w:cs="Arial"/>
                <w:color w:val="000000" w:themeColor="text1"/>
                <w:sz w:val="18"/>
                <w:szCs w:val="18"/>
              </w:rPr>
            </w:pPr>
            <w:r w:rsidRPr="00C06286">
              <w:rPr>
                <w:sz w:val="18"/>
                <w:szCs w:val="18"/>
              </w:rPr>
              <w:t>947 - 3455</w:t>
            </w:r>
          </w:p>
        </w:tc>
        <w:tc>
          <w:tcPr>
            <w:tcW w:w="1555" w:type="dxa"/>
            <w:tcBorders>
              <w:top w:val="nil"/>
              <w:left w:val="nil"/>
              <w:bottom w:val="nil"/>
              <w:right w:val="nil"/>
            </w:tcBorders>
            <w:shd w:val="clear" w:color="auto" w:fill="D9D9D9" w:themeFill="background1" w:themeFillShade="D9"/>
            <w:vAlign w:val="center"/>
          </w:tcPr>
          <w:p w14:paraId="6BFEF13D" w14:textId="057C97C3" w:rsidR="00C06286" w:rsidRPr="00C06286" w:rsidRDefault="00C06286" w:rsidP="00C06286">
            <w:pPr>
              <w:jc w:val="center"/>
              <w:rPr>
                <w:rFonts w:cs="Arial"/>
                <w:color w:val="000000" w:themeColor="text1"/>
                <w:sz w:val="18"/>
                <w:szCs w:val="18"/>
              </w:rPr>
            </w:pPr>
            <w:r w:rsidRPr="00C06286">
              <w:rPr>
                <w:sz w:val="18"/>
                <w:szCs w:val="18"/>
              </w:rPr>
              <w:t>364 - 3506</w:t>
            </w:r>
          </w:p>
        </w:tc>
      </w:tr>
    </w:tbl>
    <w:p w14:paraId="0B6487EB" w14:textId="2E62BB36" w:rsidR="00E620E9" w:rsidRDefault="00E620E9" w:rsidP="00D877D8">
      <w:pPr>
        <w:pStyle w:val="Heading2"/>
      </w:pPr>
      <w:bookmarkStart w:id="239" w:name="_Toc496169814"/>
      <w:bookmarkStart w:id="240" w:name="_Toc500321364"/>
      <w:bookmarkStart w:id="241" w:name="_Toc34830900"/>
      <w:bookmarkStart w:id="242" w:name="_Toc454886861"/>
      <w:bookmarkStart w:id="243" w:name="_Toc482255842"/>
      <w:r w:rsidRPr="00D53E1B">
        <w:t>5.</w:t>
      </w:r>
      <w:r>
        <w:t>4</w:t>
      </w:r>
      <w:r w:rsidRPr="00D53E1B">
        <w:t xml:space="preserve"> </w:t>
      </w:r>
      <w:r>
        <w:tab/>
        <w:t>Conclusion</w:t>
      </w:r>
      <w:bookmarkEnd w:id="239"/>
      <w:bookmarkEnd w:id="240"/>
      <w:bookmarkEnd w:id="241"/>
    </w:p>
    <w:p w14:paraId="18BA3FEB" w14:textId="022E78AE" w:rsidR="00E620E9" w:rsidRPr="00F76063" w:rsidRDefault="00E620E9" w:rsidP="00E620E9">
      <w:pPr>
        <w:rPr>
          <w:color w:val="000000" w:themeColor="text1"/>
        </w:rPr>
      </w:pPr>
      <w:r>
        <w:rPr>
          <w:color w:val="000000" w:themeColor="text1"/>
        </w:rPr>
        <w:t xml:space="preserve">Of the </w:t>
      </w:r>
      <w:r w:rsidR="004C2CA2">
        <w:rPr>
          <w:color w:val="000000" w:themeColor="text1"/>
        </w:rPr>
        <w:t>81</w:t>
      </w:r>
      <w:r>
        <w:rPr>
          <w:color w:val="000000" w:themeColor="text1"/>
        </w:rPr>
        <w:t xml:space="preserve"> analytes measured in </w:t>
      </w:r>
      <w:r w:rsidR="004C2CA2">
        <w:rPr>
          <w:color w:val="000000" w:themeColor="text1"/>
        </w:rPr>
        <w:t xml:space="preserve">soybean </w:t>
      </w:r>
      <w:r w:rsidR="00E461DC">
        <w:rPr>
          <w:color w:val="000000" w:themeColor="text1"/>
        </w:rPr>
        <w:t>grain</w:t>
      </w:r>
      <w:r>
        <w:rPr>
          <w:color w:val="000000" w:themeColor="text1"/>
        </w:rPr>
        <w:t>, m</w:t>
      </w:r>
      <w:r w:rsidRPr="00F76063">
        <w:rPr>
          <w:color w:val="000000" w:themeColor="text1"/>
        </w:rPr>
        <w:t xml:space="preserve">ean values </w:t>
      </w:r>
      <w:r>
        <w:rPr>
          <w:color w:val="000000" w:themeColor="text1"/>
        </w:rPr>
        <w:t xml:space="preserve">were provided </w:t>
      </w:r>
      <w:r w:rsidRPr="00F76063">
        <w:rPr>
          <w:color w:val="000000" w:themeColor="text1"/>
        </w:rPr>
        <w:t xml:space="preserve">for </w:t>
      </w:r>
      <w:r w:rsidR="004C2CA2">
        <w:rPr>
          <w:color w:val="000000" w:themeColor="text1"/>
        </w:rPr>
        <w:t>64</w:t>
      </w:r>
      <w:r w:rsidRPr="00F76063">
        <w:rPr>
          <w:color w:val="000000" w:themeColor="text1"/>
        </w:rPr>
        <w:t xml:space="preserve"> analytes</w:t>
      </w:r>
      <w:r>
        <w:rPr>
          <w:color w:val="000000" w:themeColor="text1"/>
        </w:rPr>
        <w:t>.</w:t>
      </w:r>
      <w:r w:rsidRPr="00F76063">
        <w:rPr>
          <w:color w:val="000000" w:themeColor="text1"/>
        </w:rPr>
        <w:t xml:space="preserve"> A summary of the </w:t>
      </w:r>
      <w:r>
        <w:rPr>
          <w:color w:val="000000" w:themeColor="text1"/>
        </w:rPr>
        <w:t xml:space="preserve">statistically </w:t>
      </w:r>
      <w:r w:rsidRPr="00F76063">
        <w:rPr>
          <w:color w:val="000000" w:themeColor="text1"/>
        </w:rPr>
        <w:t xml:space="preserve">significant </w:t>
      </w:r>
      <w:r w:rsidR="00D877D8">
        <w:rPr>
          <w:color w:val="000000" w:themeColor="text1"/>
        </w:rPr>
        <w:t>analytes in</w:t>
      </w:r>
      <w:r w:rsidRPr="00F76063">
        <w:rPr>
          <w:color w:val="000000" w:themeColor="text1"/>
        </w:rPr>
        <w:t xml:space="preserve"> </w:t>
      </w:r>
      <w:r w:rsidR="00B60EE2">
        <w:rPr>
          <w:color w:val="000000" w:themeColor="text1"/>
        </w:rPr>
        <w:t>GMB151</w:t>
      </w:r>
      <w:r>
        <w:rPr>
          <w:color w:val="000000" w:themeColor="text1"/>
        </w:rPr>
        <w:t xml:space="preserve"> is provided in </w:t>
      </w:r>
      <w:hyperlink w:anchor="Table14" w:history="1">
        <w:r w:rsidRPr="0021687B">
          <w:rPr>
            <w:rStyle w:val="Hyperlink"/>
          </w:rPr>
          <w:t>Table 1</w:t>
        </w:r>
        <w:r w:rsidR="00B60EE2" w:rsidRPr="0021687B">
          <w:rPr>
            <w:rStyle w:val="Hyperlink"/>
          </w:rPr>
          <w:t>4</w:t>
        </w:r>
      </w:hyperlink>
      <w:r w:rsidRPr="00F76063">
        <w:rPr>
          <w:color w:val="000000" w:themeColor="text1"/>
        </w:rPr>
        <w:t>.</w:t>
      </w:r>
      <w:r w:rsidR="00D877D8">
        <w:rPr>
          <w:color w:val="000000" w:themeColor="text1"/>
        </w:rPr>
        <w:t xml:space="preserve"> </w:t>
      </w:r>
      <w:r w:rsidR="001831BC">
        <w:rPr>
          <w:color w:val="000000" w:themeColor="text1"/>
        </w:rPr>
        <w:t>T</w:t>
      </w:r>
      <w:r>
        <w:rPr>
          <w:color w:val="000000" w:themeColor="text1"/>
        </w:rPr>
        <w:t>he</w:t>
      </w:r>
      <w:r w:rsidR="00C969C3">
        <w:rPr>
          <w:color w:val="000000" w:themeColor="text1"/>
        </w:rPr>
        <w:t xml:space="preserve">se </w:t>
      </w:r>
      <w:r w:rsidR="001831BC">
        <w:rPr>
          <w:color w:val="000000" w:themeColor="text1"/>
        </w:rPr>
        <w:t>differences</w:t>
      </w:r>
      <w:r w:rsidRPr="00F76063">
        <w:rPr>
          <w:color w:val="000000" w:themeColor="text1"/>
        </w:rPr>
        <w:t xml:space="preserve"> </w:t>
      </w:r>
      <w:r w:rsidR="00E461DC">
        <w:rPr>
          <w:color w:val="000000" w:themeColor="text1"/>
        </w:rPr>
        <w:t>fall well within the reference range</w:t>
      </w:r>
      <w:r w:rsidR="00C969C3">
        <w:rPr>
          <w:color w:val="000000" w:themeColor="text1"/>
        </w:rPr>
        <w:t>s</w:t>
      </w:r>
      <w:r w:rsidR="00E461DC">
        <w:rPr>
          <w:color w:val="000000" w:themeColor="text1"/>
        </w:rPr>
        <w:t xml:space="preserve"> of the commercial </w:t>
      </w:r>
      <w:r w:rsidR="00C969C3">
        <w:rPr>
          <w:color w:val="000000" w:themeColor="text1"/>
        </w:rPr>
        <w:t>non-</w:t>
      </w:r>
      <w:r w:rsidR="00E461DC">
        <w:rPr>
          <w:color w:val="000000" w:themeColor="text1"/>
        </w:rPr>
        <w:t>GM lines. Like any food crop, nutrient and anti-nutrient c</w:t>
      </w:r>
      <w:r w:rsidRPr="00F76063">
        <w:rPr>
          <w:color w:val="000000" w:themeColor="text1"/>
        </w:rPr>
        <w:t xml:space="preserve">omposition of </w:t>
      </w:r>
      <w:r w:rsidR="001831BC">
        <w:rPr>
          <w:color w:val="000000" w:themeColor="text1"/>
        </w:rPr>
        <w:t>soybean</w:t>
      </w:r>
      <w:r w:rsidR="00E461DC">
        <w:rPr>
          <w:color w:val="000000" w:themeColor="text1"/>
        </w:rPr>
        <w:t xml:space="preserve"> grain</w:t>
      </w:r>
      <w:r w:rsidRPr="00F76063">
        <w:rPr>
          <w:color w:val="000000" w:themeColor="text1"/>
        </w:rPr>
        <w:t xml:space="preserve"> can </w:t>
      </w:r>
      <w:r w:rsidR="001831BC">
        <w:rPr>
          <w:color w:val="000000" w:themeColor="text1"/>
        </w:rPr>
        <w:t>be impacted</w:t>
      </w:r>
      <w:r w:rsidRPr="00F76063">
        <w:rPr>
          <w:color w:val="000000" w:themeColor="text1"/>
        </w:rPr>
        <w:t xml:space="preserve"> </w:t>
      </w:r>
      <w:r w:rsidR="00E461DC">
        <w:rPr>
          <w:color w:val="000000" w:themeColor="text1"/>
        </w:rPr>
        <w:t>by</w:t>
      </w:r>
      <w:r w:rsidRPr="00F76063">
        <w:rPr>
          <w:color w:val="000000" w:themeColor="text1"/>
        </w:rPr>
        <w:t xml:space="preserve"> </w:t>
      </w:r>
      <w:r>
        <w:rPr>
          <w:color w:val="000000" w:themeColor="text1"/>
        </w:rPr>
        <w:t xml:space="preserve">cultivation </w:t>
      </w:r>
      <w:r w:rsidRPr="00F76063">
        <w:rPr>
          <w:color w:val="000000" w:themeColor="text1"/>
        </w:rPr>
        <w:t xml:space="preserve">site and agricultural </w:t>
      </w:r>
      <w:r>
        <w:rPr>
          <w:color w:val="000000" w:themeColor="text1"/>
        </w:rPr>
        <w:t>practices</w:t>
      </w:r>
      <w:r w:rsidR="00CD0BD5">
        <w:rPr>
          <w:color w:val="000000" w:themeColor="text1"/>
        </w:rPr>
        <w:t>. The</w:t>
      </w:r>
      <w:r w:rsidRPr="00F76063">
        <w:rPr>
          <w:color w:val="000000" w:themeColor="text1"/>
        </w:rPr>
        <w:t xml:space="preserve"> differences reported here </w:t>
      </w:r>
      <w:r w:rsidR="00CD0BD5">
        <w:rPr>
          <w:color w:val="000000" w:themeColor="text1"/>
        </w:rPr>
        <w:t>are consistent with the</w:t>
      </w:r>
      <w:r>
        <w:rPr>
          <w:color w:val="000000" w:themeColor="text1"/>
        </w:rPr>
        <w:t xml:space="preserve"> </w:t>
      </w:r>
      <w:r w:rsidRPr="00F76063">
        <w:rPr>
          <w:color w:val="000000" w:themeColor="text1"/>
        </w:rPr>
        <w:t>normal biological variability</w:t>
      </w:r>
      <w:r>
        <w:rPr>
          <w:color w:val="000000" w:themeColor="text1"/>
        </w:rPr>
        <w:t xml:space="preserve"> that exists in </w:t>
      </w:r>
      <w:r w:rsidR="001831BC">
        <w:rPr>
          <w:color w:val="000000" w:themeColor="text1"/>
        </w:rPr>
        <w:t>soybean</w:t>
      </w:r>
      <w:r w:rsidRPr="00F76063">
        <w:rPr>
          <w:color w:val="000000" w:themeColor="text1"/>
        </w:rPr>
        <w:t>.</w:t>
      </w:r>
    </w:p>
    <w:p w14:paraId="3C32C9A7" w14:textId="77777777" w:rsidR="00E620E9" w:rsidRPr="00F76063" w:rsidRDefault="00E620E9" w:rsidP="00E620E9">
      <w:pPr>
        <w:rPr>
          <w:color w:val="000000" w:themeColor="text1"/>
        </w:rPr>
      </w:pPr>
    </w:p>
    <w:p w14:paraId="036ED6C0" w14:textId="1C924A02" w:rsidR="00E620E9" w:rsidRDefault="00E620E9" w:rsidP="00E620E9">
      <w:r w:rsidRPr="00F76063">
        <w:rPr>
          <w:color w:val="000000" w:themeColor="text1"/>
        </w:rPr>
        <w:t xml:space="preserve">Overall, the compositional data are consistent with the conclusion that there are no biologically significant differences in the levels of key constituents in </w:t>
      </w:r>
      <w:r w:rsidR="001831BC">
        <w:rPr>
          <w:color w:val="000000" w:themeColor="text1"/>
        </w:rPr>
        <w:t>GMB151</w:t>
      </w:r>
      <w:r w:rsidRPr="00F76063">
        <w:rPr>
          <w:color w:val="000000" w:themeColor="text1"/>
        </w:rPr>
        <w:t xml:space="preserve"> when compared with conventional </w:t>
      </w:r>
      <w:r w:rsidR="001831BC">
        <w:rPr>
          <w:color w:val="000000" w:themeColor="text1"/>
        </w:rPr>
        <w:t>soybean</w:t>
      </w:r>
      <w:r w:rsidRPr="00F76063">
        <w:rPr>
          <w:color w:val="000000" w:themeColor="text1"/>
        </w:rPr>
        <w:t xml:space="preserve"> cultivars already available in agricultural markets.</w:t>
      </w:r>
      <w:r>
        <w:t xml:space="preserve"> </w:t>
      </w:r>
    </w:p>
    <w:p w14:paraId="4E313760" w14:textId="77777777" w:rsidR="00E620E9" w:rsidRDefault="00E620E9" w:rsidP="00E620E9">
      <w:pPr>
        <w:widowControl/>
        <w:rPr>
          <w:rFonts w:cs="Arial"/>
          <w:b/>
        </w:rPr>
      </w:pPr>
    </w:p>
    <w:p w14:paraId="240428C2" w14:textId="411CB5F6" w:rsidR="0095247C" w:rsidRDefault="0095247C">
      <w:pPr>
        <w:widowControl/>
        <w:rPr>
          <w:rFonts w:cs="Arial"/>
          <w:b/>
        </w:rPr>
      </w:pPr>
    </w:p>
    <w:p w14:paraId="51263D7C" w14:textId="7BA92BD9" w:rsidR="00E620E9" w:rsidRPr="00A60EAC" w:rsidRDefault="00E620E9" w:rsidP="0095247C">
      <w:pPr>
        <w:pStyle w:val="FSTableTitle"/>
        <w:spacing w:after="120"/>
        <w:ind w:left="142"/>
      </w:pPr>
      <w:bookmarkStart w:id="244" w:name="Table14"/>
      <w:r w:rsidRPr="00380C10">
        <w:t>Table 1</w:t>
      </w:r>
      <w:r w:rsidR="00B60EE2">
        <w:t>4</w:t>
      </w:r>
      <w:bookmarkEnd w:id="244"/>
      <w:r w:rsidRPr="00380C10">
        <w:t xml:space="preserve">: Summary of statistically significant </w:t>
      </w:r>
      <w:r>
        <w:t>compositional differences between</w:t>
      </w:r>
      <w:r w:rsidRPr="00380C10">
        <w:t xml:space="preserve"> </w:t>
      </w:r>
      <w:r w:rsidR="00654E38">
        <w:t>GMB151</w:t>
      </w:r>
      <w:r w:rsidRPr="00380C10">
        <w:t xml:space="preserve"> </w:t>
      </w:r>
      <w:r>
        <w:t xml:space="preserve">and the </w:t>
      </w:r>
      <w:r w:rsidRPr="00380C10">
        <w:t>parental control</w:t>
      </w:r>
      <w:r>
        <w:t xml:space="preserve"> </w:t>
      </w:r>
      <w:r w:rsidR="00654E38">
        <w:t>Thorne</w:t>
      </w:r>
      <w:r>
        <w:t>.</w:t>
      </w:r>
    </w:p>
    <w:tbl>
      <w:tblPr>
        <w:tblStyle w:val="TableGrid"/>
        <w:tblW w:w="0" w:type="auto"/>
        <w:tblInd w:w="108" w:type="dxa"/>
        <w:tblLook w:val="04A0" w:firstRow="1" w:lastRow="0" w:firstColumn="1" w:lastColumn="0" w:noHBand="0" w:noVBand="1"/>
        <w:tblCaption w:val="Table 14"/>
        <w:tblDescription w:val="Summary of statistically significant compositional differences between GMB151 and the parental control Thorne"/>
      </w:tblPr>
      <w:tblGrid>
        <w:gridCol w:w="2439"/>
        <w:gridCol w:w="1628"/>
        <w:gridCol w:w="1628"/>
        <w:gridCol w:w="1628"/>
        <w:gridCol w:w="1629"/>
      </w:tblGrid>
      <w:tr w:rsidR="004C2CA2" w14:paraId="2ACC0D38" w14:textId="77777777" w:rsidTr="002B425A">
        <w:trPr>
          <w:trHeight w:val="737"/>
        </w:trPr>
        <w:tc>
          <w:tcPr>
            <w:tcW w:w="2439" w:type="dxa"/>
            <w:vMerge w:val="restart"/>
            <w:tcBorders>
              <w:top w:val="nil"/>
              <w:left w:val="nil"/>
              <w:bottom w:val="nil"/>
              <w:right w:val="nil"/>
            </w:tcBorders>
            <w:shd w:val="clear" w:color="auto" w:fill="7F7F7F" w:themeFill="text1" w:themeFillTint="80"/>
            <w:vAlign w:val="center"/>
          </w:tcPr>
          <w:p w14:paraId="43118F32" w14:textId="77777777" w:rsidR="004C2CA2" w:rsidRPr="00654E38" w:rsidRDefault="004C2CA2" w:rsidP="002B425A">
            <w:pPr>
              <w:jc w:val="center"/>
              <w:rPr>
                <w:rFonts w:cs="Arial"/>
                <w:b/>
                <w:color w:val="FFFFFF" w:themeColor="background1"/>
                <w:sz w:val="20"/>
                <w:szCs w:val="20"/>
              </w:rPr>
            </w:pPr>
            <w:r w:rsidRPr="00654E38">
              <w:rPr>
                <w:rFonts w:cs="Arial"/>
                <w:b/>
                <w:color w:val="FFFFFF" w:themeColor="background1"/>
                <w:sz w:val="20"/>
                <w:szCs w:val="20"/>
              </w:rPr>
              <w:t>Parameter</w:t>
            </w:r>
          </w:p>
        </w:tc>
        <w:tc>
          <w:tcPr>
            <w:tcW w:w="1628" w:type="dxa"/>
            <w:tcBorders>
              <w:top w:val="nil"/>
              <w:left w:val="nil"/>
              <w:bottom w:val="nil"/>
              <w:right w:val="nil"/>
            </w:tcBorders>
            <w:shd w:val="clear" w:color="auto" w:fill="7F7F7F" w:themeFill="text1" w:themeFillTint="80"/>
            <w:vAlign w:val="center"/>
          </w:tcPr>
          <w:p w14:paraId="13AF4024" w14:textId="77777777" w:rsidR="004C2CA2" w:rsidRPr="00654E38" w:rsidRDefault="004C2CA2" w:rsidP="00897EA4">
            <w:pPr>
              <w:jc w:val="center"/>
              <w:rPr>
                <w:rFonts w:cs="Arial"/>
                <w:b/>
                <w:color w:val="FFFFFF" w:themeColor="background1"/>
                <w:sz w:val="20"/>
                <w:szCs w:val="20"/>
              </w:rPr>
            </w:pPr>
            <w:r w:rsidRPr="00654E38">
              <w:rPr>
                <w:rFonts w:cs="Arial"/>
                <w:b/>
                <w:color w:val="FFFFFF" w:themeColor="background1"/>
                <w:sz w:val="20"/>
                <w:szCs w:val="20"/>
              </w:rPr>
              <w:t>Non-GM counterpart</w:t>
            </w:r>
          </w:p>
        </w:tc>
        <w:tc>
          <w:tcPr>
            <w:tcW w:w="1628" w:type="dxa"/>
            <w:tcBorders>
              <w:top w:val="nil"/>
              <w:left w:val="nil"/>
              <w:bottom w:val="nil"/>
              <w:right w:val="nil"/>
            </w:tcBorders>
            <w:shd w:val="clear" w:color="auto" w:fill="7F7F7F" w:themeFill="text1" w:themeFillTint="80"/>
            <w:vAlign w:val="center"/>
          </w:tcPr>
          <w:p w14:paraId="4449E78E" w14:textId="514F184D" w:rsidR="004C2CA2" w:rsidRPr="00654E38" w:rsidRDefault="004C2CA2" w:rsidP="004C2CA2">
            <w:pPr>
              <w:jc w:val="center"/>
              <w:rPr>
                <w:rFonts w:cs="Arial"/>
                <w:b/>
                <w:color w:val="FFFFFF" w:themeColor="background1"/>
                <w:sz w:val="20"/>
                <w:szCs w:val="20"/>
              </w:rPr>
            </w:pPr>
            <w:r w:rsidRPr="00654E38">
              <w:rPr>
                <w:rFonts w:cs="Arial"/>
                <w:b/>
                <w:color w:val="FFFFFF" w:themeColor="background1"/>
                <w:sz w:val="20"/>
                <w:szCs w:val="20"/>
              </w:rPr>
              <w:t>GMB151 untreated</w:t>
            </w:r>
          </w:p>
        </w:tc>
        <w:tc>
          <w:tcPr>
            <w:tcW w:w="1628" w:type="dxa"/>
            <w:tcBorders>
              <w:top w:val="nil"/>
              <w:left w:val="nil"/>
              <w:bottom w:val="nil"/>
              <w:right w:val="nil"/>
            </w:tcBorders>
            <w:shd w:val="clear" w:color="auto" w:fill="7F7F7F" w:themeFill="text1" w:themeFillTint="80"/>
            <w:vAlign w:val="center"/>
          </w:tcPr>
          <w:p w14:paraId="453C69CA" w14:textId="5349BB3C" w:rsidR="004C2CA2" w:rsidRPr="00654E38" w:rsidRDefault="004C2CA2" w:rsidP="00897EA4">
            <w:pPr>
              <w:jc w:val="center"/>
              <w:rPr>
                <w:rFonts w:cs="Arial"/>
                <w:b/>
                <w:color w:val="FFFFFF" w:themeColor="background1"/>
                <w:sz w:val="20"/>
                <w:szCs w:val="20"/>
              </w:rPr>
            </w:pPr>
            <w:r w:rsidRPr="00654E38">
              <w:rPr>
                <w:rFonts w:cs="Arial"/>
                <w:b/>
                <w:color w:val="FFFFFF" w:themeColor="background1"/>
                <w:sz w:val="20"/>
                <w:szCs w:val="20"/>
              </w:rPr>
              <w:t>GMB151 treated</w:t>
            </w:r>
          </w:p>
        </w:tc>
        <w:tc>
          <w:tcPr>
            <w:tcW w:w="1629" w:type="dxa"/>
            <w:tcBorders>
              <w:top w:val="nil"/>
              <w:left w:val="nil"/>
              <w:bottom w:val="nil"/>
              <w:right w:val="nil"/>
            </w:tcBorders>
            <w:shd w:val="clear" w:color="auto" w:fill="7F7F7F" w:themeFill="text1" w:themeFillTint="80"/>
            <w:vAlign w:val="center"/>
          </w:tcPr>
          <w:p w14:paraId="39B33383" w14:textId="77777777" w:rsidR="004C2CA2" w:rsidRPr="00654E38" w:rsidRDefault="004C2CA2" w:rsidP="00897EA4">
            <w:pPr>
              <w:jc w:val="center"/>
              <w:rPr>
                <w:rFonts w:cs="Arial"/>
                <w:b/>
                <w:color w:val="FFFFFF" w:themeColor="background1"/>
                <w:sz w:val="20"/>
                <w:szCs w:val="20"/>
              </w:rPr>
            </w:pPr>
            <w:r w:rsidRPr="00654E38">
              <w:rPr>
                <w:rFonts w:cs="Arial"/>
                <w:b/>
                <w:color w:val="FFFFFF" w:themeColor="background1"/>
                <w:sz w:val="20"/>
                <w:szCs w:val="20"/>
              </w:rPr>
              <w:t>Are values within the reference ranges?</w:t>
            </w:r>
          </w:p>
        </w:tc>
      </w:tr>
      <w:tr w:rsidR="004C2CA2" w14:paraId="0A930943" w14:textId="77777777" w:rsidTr="00654E38">
        <w:trPr>
          <w:trHeight w:val="283"/>
        </w:trPr>
        <w:tc>
          <w:tcPr>
            <w:tcW w:w="2439" w:type="dxa"/>
            <w:vMerge/>
            <w:tcBorders>
              <w:top w:val="nil"/>
              <w:left w:val="nil"/>
              <w:bottom w:val="nil"/>
              <w:right w:val="nil"/>
            </w:tcBorders>
            <w:shd w:val="clear" w:color="auto" w:fill="7F7F7F" w:themeFill="text1" w:themeFillTint="80"/>
          </w:tcPr>
          <w:p w14:paraId="7123F502" w14:textId="77777777" w:rsidR="004C2CA2" w:rsidRPr="00654E38" w:rsidRDefault="004C2CA2" w:rsidP="00897EA4">
            <w:pPr>
              <w:rPr>
                <w:rFonts w:cs="Arial"/>
                <w:b/>
                <w:color w:val="FFFFFF" w:themeColor="background1"/>
                <w:sz w:val="20"/>
                <w:szCs w:val="20"/>
              </w:rPr>
            </w:pPr>
          </w:p>
        </w:tc>
        <w:tc>
          <w:tcPr>
            <w:tcW w:w="1628" w:type="dxa"/>
            <w:tcBorders>
              <w:top w:val="nil"/>
              <w:left w:val="nil"/>
              <w:bottom w:val="nil"/>
              <w:right w:val="nil"/>
            </w:tcBorders>
            <w:shd w:val="clear" w:color="auto" w:fill="7F7F7F" w:themeFill="text1" w:themeFillTint="80"/>
            <w:vAlign w:val="center"/>
          </w:tcPr>
          <w:p w14:paraId="0B7B3B80" w14:textId="77777777" w:rsidR="004C2CA2" w:rsidRPr="00654E38" w:rsidRDefault="004C2CA2" w:rsidP="00897EA4">
            <w:pPr>
              <w:jc w:val="center"/>
              <w:rPr>
                <w:rFonts w:cs="Arial"/>
                <w:b/>
                <w:color w:val="FFFFFF" w:themeColor="background1"/>
                <w:sz w:val="20"/>
                <w:szCs w:val="20"/>
              </w:rPr>
            </w:pPr>
            <w:r w:rsidRPr="00654E38">
              <w:rPr>
                <w:rFonts w:cs="Arial"/>
                <w:b/>
                <w:color w:val="FFFFFF" w:themeColor="background1"/>
                <w:sz w:val="20"/>
                <w:szCs w:val="20"/>
              </w:rPr>
              <w:t>Mean ± SEM</w:t>
            </w:r>
          </w:p>
        </w:tc>
        <w:tc>
          <w:tcPr>
            <w:tcW w:w="1628" w:type="dxa"/>
            <w:tcBorders>
              <w:top w:val="nil"/>
              <w:left w:val="nil"/>
              <w:bottom w:val="nil"/>
              <w:right w:val="nil"/>
            </w:tcBorders>
            <w:shd w:val="clear" w:color="auto" w:fill="7F7F7F" w:themeFill="text1" w:themeFillTint="80"/>
          </w:tcPr>
          <w:p w14:paraId="28B5932B" w14:textId="232D9775" w:rsidR="004C2CA2" w:rsidRPr="00654E38" w:rsidRDefault="004C2CA2" w:rsidP="00897EA4">
            <w:pPr>
              <w:jc w:val="center"/>
              <w:rPr>
                <w:rFonts w:cs="Arial"/>
                <w:b/>
                <w:color w:val="FFFFFF" w:themeColor="background1"/>
                <w:sz w:val="20"/>
                <w:szCs w:val="20"/>
              </w:rPr>
            </w:pPr>
            <w:r w:rsidRPr="00654E38">
              <w:rPr>
                <w:rFonts w:cs="Arial"/>
                <w:b/>
                <w:color w:val="FFFFFF" w:themeColor="background1"/>
                <w:sz w:val="20"/>
                <w:szCs w:val="20"/>
              </w:rPr>
              <w:t>Mean ± SEM</w:t>
            </w:r>
          </w:p>
        </w:tc>
        <w:tc>
          <w:tcPr>
            <w:tcW w:w="1628" w:type="dxa"/>
            <w:tcBorders>
              <w:top w:val="nil"/>
              <w:left w:val="nil"/>
              <w:bottom w:val="nil"/>
              <w:right w:val="nil"/>
            </w:tcBorders>
            <w:shd w:val="clear" w:color="auto" w:fill="7F7F7F" w:themeFill="text1" w:themeFillTint="80"/>
            <w:vAlign w:val="center"/>
          </w:tcPr>
          <w:p w14:paraId="11A65506" w14:textId="6A325A0D" w:rsidR="004C2CA2" w:rsidRPr="00654E38" w:rsidRDefault="004C2CA2" w:rsidP="00897EA4">
            <w:pPr>
              <w:jc w:val="center"/>
              <w:rPr>
                <w:rFonts w:cs="Arial"/>
                <w:b/>
                <w:color w:val="FFFFFF" w:themeColor="background1"/>
                <w:sz w:val="20"/>
                <w:szCs w:val="20"/>
              </w:rPr>
            </w:pPr>
            <w:r w:rsidRPr="00654E38">
              <w:rPr>
                <w:rFonts w:cs="Arial"/>
                <w:b/>
                <w:color w:val="FFFFFF" w:themeColor="background1"/>
                <w:sz w:val="20"/>
                <w:szCs w:val="20"/>
              </w:rPr>
              <w:t>Mean ± SEM</w:t>
            </w:r>
          </w:p>
        </w:tc>
        <w:tc>
          <w:tcPr>
            <w:tcW w:w="1629" w:type="dxa"/>
            <w:tcBorders>
              <w:top w:val="nil"/>
              <w:left w:val="nil"/>
              <w:bottom w:val="nil"/>
              <w:right w:val="nil"/>
            </w:tcBorders>
            <w:shd w:val="clear" w:color="auto" w:fill="7F7F7F" w:themeFill="text1" w:themeFillTint="80"/>
            <w:vAlign w:val="center"/>
          </w:tcPr>
          <w:p w14:paraId="35189182" w14:textId="77777777" w:rsidR="004C2CA2" w:rsidRPr="00654E38" w:rsidRDefault="004C2CA2" w:rsidP="00897EA4">
            <w:pPr>
              <w:jc w:val="center"/>
              <w:rPr>
                <w:rFonts w:cs="Arial"/>
                <w:b/>
                <w:color w:val="FFFFFF" w:themeColor="background1"/>
                <w:sz w:val="20"/>
                <w:szCs w:val="20"/>
              </w:rPr>
            </w:pPr>
            <w:r w:rsidRPr="00654E38">
              <w:rPr>
                <w:rFonts w:cs="Arial"/>
                <w:b/>
                <w:color w:val="FFFFFF" w:themeColor="background1"/>
                <w:sz w:val="20"/>
                <w:szCs w:val="20"/>
              </w:rPr>
              <w:t>Yes / No</w:t>
            </w:r>
          </w:p>
        </w:tc>
      </w:tr>
      <w:tr w:rsidR="004C2CA2" w14:paraId="7BE071C2" w14:textId="77777777" w:rsidTr="00654E38">
        <w:trPr>
          <w:trHeight w:val="340"/>
        </w:trPr>
        <w:tc>
          <w:tcPr>
            <w:tcW w:w="2439" w:type="dxa"/>
            <w:tcBorders>
              <w:top w:val="nil"/>
              <w:left w:val="nil"/>
              <w:bottom w:val="nil"/>
              <w:right w:val="nil"/>
            </w:tcBorders>
            <w:vAlign w:val="center"/>
          </w:tcPr>
          <w:p w14:paraId="45D70B6F" w14:textId="53A8250E" w:rsidR="004C2CA2" w:rsidRPr="00654E38" w:rsidRDefault="004C2CA2" w:rsidP="00B60EE2">
            <w:pPr>
              <w:ind w:right="177"/>
              <w:jc w:val="right"/>
              <w:rPr>
                <w:rFonts w:cs="Arial"/>
                <w:color w:val="000000" w:themeColor="text1"/>
                <w:sz w:val="18"/>
                <w:szCs w:val="18"/>
              </w:rPr>
            </w:pPr>
            <w:r w:rsidRPr="00654E38">
              <w:rPr>
                <w:rFonts w:cs="Arial"/>
                <w:color w:val="000000" w:themeColor="text1"/>
                <w:sz w:val="18"/>
                <w:szCs w:val="18"/>
              </w:rPr>
              <w:t>Moisture</w:t>
            </w:r>
          </w:p>
        </w:tc>
        <w:tc>
          <w:tcPr>
            <w:tcW w:w="1628" w:type="dxa"/>
            <w:tcBorders>
              <w:top w:val="nil"/>
              <w:left w:val="nil"/>
              <w:bottom w:val="nil"/>
              <w:right w:val="nil"/>
            </w:tcBorders>
            <w:shd w:val="clear" w:color="auto" w:fill="auto"/>
            <w:vAlign w:val="center"/>
          </w:tcPr>
          <w:p w14:paraId="65DE6EB9" w14:textId="1ACE5031" w:rsidR="004C2CA2" w:rsidRPr="00654E38" w:rsidRDefault="004C2CA2" w:rsidP="004C2CA2">
            <w:pPr>
              <w:jc w:val="center"/>
              <w:rPr>
                <w:rFonts w:cs="Arial"/>
                <w:color w:val="000000" w:themeColor="text1"/>
                <w:sz w:val="18"/>
                <w:szCs w:val="18"/>
              </w:rPr>
            </w:pPr>
            <w:r w:rsidRPr="00654E38">
              <w:rPr>
                <w:rFonts w:cs="Arial"/>
                <w:color w:val="000000" w:themeColor="text1"/>
                <w:sz w:val="18"/>
                <w:szCs w:val="18"/>
              </w:rPr>
              <w:t>12.2 ± 2.70</w:t>
            </w:r>
          </w:p>
        </w:tc>
        <w:tc>
          <w:tcPr>
            <w:tcW w:w="1628" w:type="dxa"/>
            <w:tcBorders>
              <w:top w:val="nil"/>
              <w:left w:val="nil"/>
              <w:bottom w:val="nil"/>
              <w:right w:val="nil"/>
            </w:tcBorders>
            <w:shd w:val="clear" w:color="auto" w:fill="F2DBDB" w:themeFill="accent2" w:themeFillTint="33"/>
            <w:vAlign w:val="center"/>
          </w:tcPr>
          <w:p w14:paraId="1B33ECD0" w14:textId="0EF313BA" w:rsidR="004C2CA2" w:rsidRPr="00654E38" w:rsidRDefault="004C2CA2" w:rsidP="004C2CA2">
            <w:pPr>
              <w:jc w:val="center"/>
              <w:rPr>
                <w:rFonts w:cs="Arial"/>
                <w:color w:val="000000" w:themeColor="text1"/>
                <w:sz w:val="18"/>
                <w:szCs w:val="18"/>
              </w:rPr>
            </w:pPr>
            <w:r w:rsidRPr="00654E38">
              <w:rPr>
                <w:rFonts w:cs="Arial"/>
                <w:sz w:val="18"/>
                <w:szCs w:val="18"/>
              </w:rPr>
              <w:t>11.5 ± 2.33</w:t>
            </w:r>
          </w:p>
        </w:tc>
        <w:tc>
          <w:tcPr>
            <w:tcW w:w="1628" w:type="dxa"/>
            <w:tcBorders>
              <w:top w:val="nil"/>
              <w:left w:val="nil"/>
              <w:bottom w:val="nil"/>
              <w:right w:val="nil"/>
            </w:tcBorders>
            <w:shd w:val="clear" w:color="auto" w:fill="F2DBDB" w:themeFill="accent2" w:themeFillTint="33"/>
            <w:vAlign w:val="center"/>
          </w:tcPr>
          <w:p w14:paraId="214AA166" w14:textId="56DE27FB" w:rsidR="004C2CA2" w:rsidRPr="00654E38" w:rsidRDefault="004C2CA2" w:rsidP="004C2CA2">
            <w:pPr>
              <w:jc w:val="center"/>
              <w:rPr>
                <w:rFonts w:cs="Arial"/>
                <w:color w:val="000000" w:themeColor="text1"/>
                <w:sz w:val="18"/>
                <w:szCs w:val="18"/>
              </w:rPr>
            </w:pPr>
            <w:r w:rsidRPr="00654E38">
              <w:rPr>
                <w:rFonts w:cs="Arial"/>
                <w:sz w:val="18"/>
                <w:szCs w:val="18"/>
              </w:rPr>
              <w:t>11.3 ± 2.30</w:t>
            </w:r>
          </w:p>
        </w:tc>
        <w:tc>
          <w:tcPr>
            <w:tcW w:w="1629" w:type="dxa"/>
            <w:tcBorders>
              <w:top w:val="nil"/>
              <w:left w:val="nil"/>
              <w:bottom w:val="nil"/>
              <w:right w:val="nil"/>
            </w:tcBorders>
            <w:shd w:val="clear" w:color="auto" w:fill="FFFFFF" w:themeFill="background1"/>
            <w:vAlign w:val="center"/>
          </w:tcPr>
          <w:p w14:paraId="471E9900" w14:textId="5EBE248A" w:rsidR="004C2CA2" w:rsidRPr="00654E38" w:rsidRDefault="00B60EE2" w:rsidP="004C2CA2">
            <w:pPr>
              <w:jc w:val="center"/>
              <w:rPr>
                <w:rFonts w:cs="Arial"/>
                <w:color w:val="000000" w:themeColor="text1"/>
                <w:sz w:val="18"/>
                <w:szCs w:val="18"/>
              </w:rPr>
            </w:pPr>
            <w:r>
              <w:rPr>
                <w:rFonts w:cs="Arial"/>
                <w:color w:val="000000" w:themeColor="text1"/>
                <w:sz w:val="18"/>
                <w:szCs w:val="18"/>
              </w:rPr>
              <w:t>Yes</w:t>
            </w:r>
          </w:p>
        </w:tc>
      </w:tr>
      <w:tr w:rsidR="004C2CA2" w14:paraId="43D4415D" w14:textId="77777777" w:rsidTr="00654E38">
        <w:trPr>
          <w:trHeight w:val="340"/>
        </w:trPr>
        <w:tc>
          <w:tcPr>
            <w:tcW w:w="2439" w:type="dxa"/>
            <w:tcBorders>
              <w:top w:val="nil"/>
              <w:left w:val="nil"/>
              <w:bottom w:val="nil"/>
              <w:right w:val="nil"/>
            </w:tcBorders>
            <w:vAlign w:val="center"/>
          </w:tcPr>
          <w:p w14:paraId="6C791ABB" w14:textId="5DB7937F" w:rsidR="004C2CA2" w:rsidRPr="00654E38" w:rsidRDefault="004C2CA2" w:rsidP="00B60EE2">
            <w:pPr>
              <w:ind w:right="177"/>
              <w:jc w:val="right"/>
              <w:rPr>
                <w:rFonts w:cs="Arial"/>
                <w:color w:val="000000" w:themeColor="text1"/>
                <w:sz w:val="18"/>
                <w:szCs w:val="18"/>
              </w:rPr>
            </w:pPr>
            <w:r w:rsidRPr="00654E38">
              <w:rPr>
                <w:rFonts w:cs="Arial"/>
                <w:color w:val="000000" w:themeColor="text1"/>
                <w:sz w:val="18"/>
                <w:szCs w:val="18"/>
              </w:rPr>
              <w:t>Carbohydrate</w:t>
            </w:r>
          </w:p>
        </w:tc>
        <w:tc>
          <w:tcPr>
            <w:tcW w:w="1628" w:type="dxa"/>
            <w:tcBorders>
              <w:top w:val="nil"/>
              <w:left w:val="nil"/>
              <w:bottom w:val="nil"/>
              <w:right w:val="nil"/>
            </w:tcBorders>
            <w:shd w:val="clear" w:color="auto" w:fill="auto"/>
            <w:vAlign w:val="center"/>
          </w:tcPr>
          <w:p w14:paraId="7D03707D" w14:textId="7E0C8B80" w:rsidR="004C2CA2" w:rsidRPr="00654E38" w:rsidRDefault="004C2CA2" w:rsidP="004C2CA2">
            <w:pPr>
              <w:jc w:val="center"/>
              <w:rPr>
                <w:rFonts w:cs="Arial"/>
                <w:color w:val="000000" w:themeColor="text1"/>
                <w:sz w:val="18"/>
                <w:szCs w:val="18"/>
              </w:rPr>
            </w:pPr>
            <w:r w:rsidRPr="00654E38">
              <w:rPr>
                <w:rFonts w:cs="Arial"/>
                <w:sz w:val="18"/>
                <w:szCs w:val="18"/>
              </w:rPr>
              <w:t>35.2 ± 0.85</w:t>
            </w:r>
          </w:p>
        </w:tc>
        <w:tc>
          <w:tcPr>
            <w:tcW w:w="1628" w:type="dxa"/>
            <w:tcBorders>
              <w:top w:val="nil"/>
              <w:left w:val="nil"/>
              <w:bottom w:val="nil"/>
              <w:right w:val="nil"/>
            </w:tcBorders>
            <w:shd w:val="clear" w:color="auto" w:fill="F2DBDB" w:themeFill="accent2" w:themeFillTint="33"/>
            <w:vAlign w:val="center"/>
          </w:tcPr>
          <w:p w14:paraId="4D748EC2" w14:textId="2DAB928D" w:rsidR="004C2CA2" w:rsidRPr="00654E38" w:rsidRDefault="004C2CA2" w:rsidP="004C2CA2">
            <w:pPr>
              <w:jc w:val="center"/>
              <w:rPr>
                <w:rFonts w:cs="Arial"/>
                <w:sz w:val="18"/>
                <w:szCs w:val="18"/>
              </w:rPr>
            </w:pPr>
            <w:r w:rsidRPr="00654E38">
              <w:rPr>
                <w:rFonts w:cs="Arial"/>
                <w:sz w:val="18"/>
                <w:szCs w:val="18"/>
              </w:rPr>
              <w:t>34.4 ± 0.97</w:t>
            </w:r>
          </w:p>
        </w:tc>
        <w:tc>
          <w:tcPr>
            <w:tcW w:w="1628" w:type="dxa"/>
            <w:tcBorders>
              <w:top w:val="nil"/>
              <w:left w:val="nil"/>
              <w:bottom w:val="nil"/>
              <w:right w:val="nil"/>
            </w:tcBorders>
            <w:shd w:val="clear" w:color="auto" w:fill="F2DBDB" w:themeFill="accent2" w:themeFillTint="33"/>
            <w:vAlign w:val="center"/>
          </w:tcPr>
          <w:p w14:paraId="07FF75A8" w14:textId="73A24594" w:rsidR="004C2CA2" w:rsidRPr="00654E38" w:rsidRDefault="004C2CA2" w:rsidP="004C2CA2">
            <w:pPr>
              <w:jc w:val="center"/>
              <w:rPr>
                <w:rFonts w:cs="Arial"/>
                <w:color w:val="000000" w:themeColor="text1"/>
                <w:sz w:val="18"/>
                <w:szCs w:val="18"/>
              </w:rPr>
            </w:pPr>
            <w:r w:rsidRPr="00654E38">
              <w:rPr>
                <w:rFonts w:cs="Arial"/>
                <w:sz w:val="18"/>
                <w:szCs w:val="18"/>
              </w:rPr>
              <w:t>34.5 ± 1.14</w:t>
            </w:r>
          </w:p>
        </w:tc>
        <w:tc>
          <w:tcPr>
            <w:tcW w:w="1629" w:type="dxa"/>
            <w:tcBorders>
              <w:top w:val="nil"/>
              <w:left w:val="nil"/>
              <w:bottom w:val="nil"/>
              <w:right w:val="nil"/>
            </w:tcBorders>
            <w:shd w:val="clear" w:color="auto" w:fill="FFFFFF" w:themeFill="background1"/>
            <w:vAlign w:val="center"/>
          </w:tcPr>
          <w:p w14:paraId="6E516673" w14:textId="090FAF5A" w:rsidR="004C2CA2" w:rsidRPr="00654E38" w:rsidRDefault="00B60EE2" w:rsidP="004C2CA2">
            <w:pPr>
              <w:jc w:val="center"/>
              <w:rPr>
                <w:rFonts w:cs="Arial"/>
                <w:color w:val="000000" w:themeColor="text1"/>
                <w:sz w:val="18"/>
                <w:szCs w:val="18"/>
              </w:rPr>
            </w:pPr>
            <w:r>
              <w:rPr>
                <w:rFonts w:cs="Arial"/>
                <w:color w:val="000000" w:themeColor="text1"/>
                <w:sz w:val="18"/>
                <w:szCs w:val="18"/>
              </w:rPr>
              <w:t>Yes</w:t>
            </w:r>
          </w:p>
        </w:tc>
      </w:tr>
      <w:tr w:rsidR="004C2CA2" w14:paraId="0CE2B823" w14:textId="77777777" w:rsidTr="00654E38">
        <w:trPr>
          <w:trHeight w:val="340"/>
        </w:trPr>
        <w:tc>
          <w:tcPr>
            <w:tcW w:w="2439" w:type="dxa"/>
            <w:tcBorders>
              <w:top w:val="nil"/>
              <w:left w:val="nil"/>
              <w:bottom w:val="nil"/>
              <w:right w:val="nil"/>
            </w:tcBorders>
            <w:vAlign w:val="center"/>
          </w:tcPr>
          <w:p w14:paraId="40DC62BA" w14:textId="42E9574A" w:rsidR="004C2CA2" w:rsidRPr="00654E38" w:rsidRDefault="004C2CA2" w:rsidP="00B60EE2">
            <w:pPr>
              <w:ind w:right="177"/>
              <w:jc w:val="right"/>
              <w:rPr>
                <w:rFonts w:cs="Arial"/>
                <w:color w:val="000000" w:themeColor="text1"/>
                <w:sz w:val="18"/>
                <w:szCs w:val="18"/>
              </w:rPr>
            </w:pPr>
            <w:r w:rsidRPr="00654E38">
              <w:rPr>
                <w:rFonts w:cs="Arial"/>
                <w:color w:val="000000" w:themeColor="text1"/>
                <w:sz w:val="18"/>
                <w:szCs w:val="18"/>
              </w:rPr>
              <w:t>Crude protein</w:t>
            </w:r>
          </w:p>
        </w:tc>
        <w:tc>
          <w:tcPr>
            <w:tcW w:w="1628" w:type="dxa"/>
            <w:tcBorders>
              <w:top w:val="nil"/>
              <w:left w:val="nil"/>
              <w:bottom w:val="nil"/>
              <w:right w:val="nil"/>
            </w:tcBorders>
            <w:shd w:val="clear" w:color="auto" w:fill="auto"/>
            <w:vAlign w:val="center"/>
          </w:tcPr>
          <w:p w14:paraId="61C46085" w14:textId="399196DE" w:rsidR="004C2CA2" w:rsidRPr="00654E38" w:rsidRDefault="004C2CA2" w:rsidP="004C2CA2">
            <w:pPr>
              <w:jc w:val="center"/>
              <w:rPr>
                <w:rFonts w:cs="Arial"/>
                <w:color w:val="000000" w:themeColor="text1"/>
                <w:sz w:val="18"/>
                <w:szCs w:val="18"/>
              </w:rPr>
            </w:pPr>
            <w:r w:rsidRPr="00654E38">
              <w:rPr>
                <w:rFonts w:cs="Arial"/>
                <w:sz w:val="18"/>
                <w:szCs w:val="18"/>
              </w:rPr>
              <w:t>39.7 ± 1.07</w:t>
            </w:r>
          </w:p>
        </w:tc>
        <w:tc>
          <w:tcPr>
            <w:tcW w:w="1628" w:type="dxa"/>
            <w:tcBorders>
              <w:top w:val="nil"/>
              <w:left w:val="nil"/>
              <w:bottom w:val="nil"/>
              <w:right w:val="nil"/>
            </w:tcBorders>
            <w:shd w:val="clear" w:color="auto" w:fill="EAF1DD" w:themeFill="accent3" w:themeFillTint="33"/>
            <w:vAlign w:val="center"/>
          </w:tcPr>
          <w:p w14:paraId="00C1D5B2" w14:textId="6D838C05" w:rsidR="004C2CA2" w:rsidRPr="00654E38" w:rsidRDefault="004C2CA2" w:rsidP="004C2CA2">
            <w:pPr>
              <w:jc w:val="center"/>
              <w:rPr>
                <w:rFonts w:cs="Arial"/>
                <w:color w:val="000000" w:themeColor="text1"/>
                <w:sz w:val="18"/>
                <w:szCs w:val="18"/>
              </w:rPr>
            </w:pPr>
            <w:r w:rsidRPr="00654E38">
              <w:rPr>
                <w:rFonts w:cs="Arial"/>
                <w:sz w:val="18"/>
                <w:szCs w:val="18"/>
              </w:rPr>
              <w:t>40.4 ± 1.37</w:t>
            </w:r>
          </w:p>
        </w:tc>
        <w:tc>
          <w:tcPr>
            <w:tcW w:w="1628" w:type="dxa"/>
            <w:tcBorders>
              <w:top w:val="nil"/>
              <w:left w:val="nil"/>
              <w:bottom w:val="nil"/>
              <w:right w:val="nil"/>
            </w:tcBorders>
            <w:shd w:val="clear" w:color="auto" w:fill="EAF1DD" w:themeFill="accent3" w:themeFillTint="33"/>
            <w:vAlign w:val="center"/>
          </w:tcPr>
          <w:p w14:paraId="45B7BE2F" w14:textId="033D96AD" w:rsidR="004C2CA2" w:rsidRPr="00654E38" w:rsidRDefault="004C2CA2" w:rsidP="004C2CA2">
            <w:pPr>
              <w:jc w:val="center"/>
              <w:rPr>
                <w:rFonts w:cs="Arial"/>
                <w:color w:val="000000" w:themeColor="text1"/>
                <w:sz w:val="18"/>
                <w:szCs w:val="18"/>
              </w:rPr>
            </w:pPr>
            <w:r w:rsidRPr="00654E38">
              <w:rPr>
                <w:rFonts w:cs="Arial"/>
                <w:sz w:val="18"/>
                <w:szCs w:val="18"/>
              </w:rPr>
              <w:t>40.4 ± 1.37</w:t>
            </w:r>
          </w:p>
        </w:tc>
        <w:tc>
          <w:tcPr>
            <w:tcW w:w="1629" w:type="dxa"/>
            <w:tcBorders>
              <w:top w:val="nil"/>
              <w:left w:val="nil"/>
              <w:bottom w:val="nil"/>
              <w:right w:val="nil"/>
            </w:tcBorders>
            <w:shd w:val="clear" w:color="auto" w:fill="FFFFFF" w:themeFill="background1"/>
            <w:vAlign w:val="center"/>
          </w:tcPr>
          <w:p w14:paraId="3507F22F" w14:textId="6BEC5E8E" w:rsidR="004C2CA2" w:rsidRPr="00654E38" w:rsidRDefault="00B60EE2" w:rsidP="004C2CA2">
            <w:pPr>
              <w:jc w:val="center"/>
              <w:rPr>
                <w:rFonts w:cs="Arial"/>
                <w:color w:val="000000" w:themeColor="text1"/>
                <w:sz w:val="18"/>
                <w:szCs w:val="18"/>
              </w:rPr>
            </w:pPr>
            <w:r>
              <w:rPr>
                <w:rFonts w:cs="Arial"/>
                <w:color w:val="000000" w:themeColor="text1"/>
                <w:sz w:val="18"/>
                <w:szCs w:val="18"/>
              </w:rPr>
              <w:t>Yes</w:t>
            </w:r>
          </w:p>
        </w:tc>
      </w:tr>
      <w:tr w:rsidR="004C2CA2" w14:paraId="5D2C51F8" w14:textId="77777777" w:rsidTr="00654E38">
        <w:trPr>
          <w:trHeight w:val="340"/>
        </w:trPr>
        <w:tc>
          <w:tcPr>
            <w:tcW w:w="2439" w:type="dxa"/>
            <w:tcBorders>
              <w:top w:val="nil"/>
              <w:left w:val="nil"/>
              <w:bottom w:val="nil"/>
              <w:right w:val="nil"/>
            </w:tcBorders>
            <w:vAlign w:val="center"/>
          </w:tcPr>
          <w:p w14:paraId="70BEDFFE" w14:textId="4024AA79" w:rsidR="004C2CA2" w:rsidRPr="00654E38" w:rsidRDefault="004C2CA2" w:rsidP="00B60EE2">
            <w:pPr>
              <w:ind w:right="177"/>
              <w:jc w:val="right"/>
              <w:rPr>
                <w:rFonts w:cs="Arial"/>
                <w:color w:val="000000" w:themeColor="text1"/>
                <w:sz w:val="18"/>
                <w:szCs w:val="18"/>
              </w:rPr>
            </w:pPr>
            <w:r w:rsidRPr="00654E38">
              <w:rPr>
                <w:rFonts w:cs="Arial"/>
                <w:color w:val="000000" w:themeColor="text1"/>
                <w:sz w:val="18"/>
                <w:szCs w:val="18"/>
              </w:rPr>
              <w:t>Neutral Detergent Fibre</w:t>
            </w:r>
          </w:p>
        </w:tc>
        <w:tc>
          <w:tcPr>
            <w:tcW w:w="1628" w:type="dxa"/>
            <w:tcBorders>
              <w:top w:val="nil"/>
              <w:left w:val="nil"/>
              <w:bottom w:val="nil"/>
              <w:right w:val="nil"/>
            </w:tcBorders>
            <w:shd w:val="clear" w:color="auto" w:fill="auto"/>
            <w:vAlign w:val="center"/>
          </w:tcPr>
          <w:p w14:paraId="65A405D6" w14:textId="511FC21F" w:rsidR="004C2CA2" w:rsidRPr="00654E38" w:rsidRDefault="004C2CA2" w:rsidP="004C2CA2">
            <w:pPr>
              <w:jc w:val="center"/>
              <w:rPr>
                <w:rFonts w:cs="Arial"/>
                <w:color w:val="000000" w:themeColor="text1"/>
                <w:sz w:val="18"/>
                <w:szCs w:val="18"/>
              </w:rPr>
            </w:pPr>
            <w:r w:rsidRPr="00654E38">
              <w:rPr>
                <w:rFonts w:cs="Arial"/>
                <w:sz w:val="18"/>
                <w:szCs w:val="18"/>
              </w:rPr>
              <w:t>16.3 ± 1.52</w:t>
            </w:r>
          </w:p>
        </w:tc>
        <w:tc>
          <w:tcPr>
            <w:tcW w:w="1628" w:type="dxa"/>
            <w:tcBorders>
              <w:top w:val="nil"/>
              <w:left w:val="nil"/>
              <w:bottom w:val="nil"/>
              <w:right w:val="nil"/>
            </w:tcBorders>
            <w:shd w:val="clear" w:color="auto" w:fill="auto"/>
            <w:vAlign w:val="center"/>
          </w:tcPr>
          <w:p w14:paraId="13F44207" w14:textId="69C89F20" w:rsidR="004C2CA2" w:rsidRPr="00654E38" w:rsidRDefault="004C2CA2" w:rsidP="004C2CA2">
            <w:pPr>
              <w:jc w:val="center"/>
              <w:rPr>
                <w:rFonts w:cs="Arial"/>
                <w:color w:val="000000" w:themeColor="text1"/>
                <w:sz w:val="18"/>
                <w:szCs w:val="18"/>
              </w:rPr>
            </w:pPr>
            <w:r w:rsidRPr="00654E38">
              <w:rPr>
                <w:rFonts w:cs="Arial"/>
                <w:sz w:val="18"/>
                <w:szCs w:val="18"/>
              </w:rPr>
              <w:t>16.1 ± 0.97</w:t>
            </w:r>
          </w:p>
        </w:tc>
        <w:tc>
          <w:tcPr>
            <w:tcW w:w="1628" w:type="dxa"/>
            <w:tcBorders>
              <w:top w:val="nil"/>
              <w:left w:val="nil"/>
              <w:bottom w:val="nil"/>
              <w:right w:val="nil"/>
            </w:tcBorders>
            <w:shd w:val="clear" w:color="auto" w:fill="F2DBDB" w:themeFill="accent2" w:themeFillTint="33"/>
            <w:vAlign w:val="center"/>
          </w:tcPr>
          <w:p w14:paraId="6080D89A" w14:textId="60685B4D" w:rsidR="004C2CA2" w:rsidRPr="00654E38" w:rsidRDefault="004C2CA2" w:rsidP="004C2CA2">
            <w:pPr>
              <w:jc w:val="center"/>
              <w:rPr>
                <w:rFonts w:cs="Arial"/>
                <w:color w:val="000000" w:themeColor="text1"/>
                <w:sz w:val="18"/>
                <w:szCs w:val="18"/>
              </w:rPr>
            </w:pPr>
            <w:r w:rsidRPr="00654E38">
              <w:rPr>
                <w:rFonts w:cs="Arial"/>
                <w:sz w:val="18"/>
                <w:szCs w:val="18"/>
              </w:rPr>
              <w:t>15.7 ± 1.00</w:t>
            </w:r>
          </w:p>
        </w:tc>
        <w:tc>
          <w:tcPr>
            <w:tcW w:w="1629" w:type="dxa"/>
            <w:tcBorders>
              <w:top w:val="nil"/>
              <w:left w:val="nil"/>
              <w:bottom w:val="nil"/>
              <w:right w:val="nil"/>
            </w:tcBorders>
            <w:shd w:val="clear" w:color="auto" w:fill="FFFFFF" w:themeFill="background1"/>
            <w:vAlign w:val="center"/>
          </w:tcPr>
          <w:p w14:paraId="4A02816F" w14:textId="612D6687" w:rsidR="004C2CA2" w:rsidRPr="00654E38" w:rsidRDefault="00B60EE2" w:rsidP="004C2CA2">
            <w:pPr>
              <w:jc w:val="center"/>
              <w:rPr>
                <w:rFonts w:cs="Arial"/>
                <w:color w:val="000000" w:themeColor="text1"/>
                <w:sz w:val="18"/>
                <w:szCs w:val="18"/>
              </w:rPr>
            </w:pPr>
            <w:r>
              <w:rPr>
                <w:rFonts w:cs="Arial"/>
                <w:color w:val="000000" w:themeColor="text1"/>
                <w:sz w:val="18"/>
                <w:szCs w:val="18"/>
              </w:rPr>
              <w:t>Yes</w:t>
            </w:r>
          </w:p>
        </w:tc>
      </w:tr>
      <w:tr w:rsidR="004C2CA2" w14:paraId="4F1841DE" w14:textId="77777777" w:rsidTr="00B60EE2">
        <w:trPr>
          <w:trHeight w:val="340"/>
        </w:trPr>
        <w:tc>
          <w:tcPr>
            <w:tcW w:w="2439" w:type="dxa"/>
            <w:tcBorders>
              <w:top w:val="nil"/>
              <w:left w:val="nil"/>
              <w:bottom w:val="nil"/>
              <w:right w:val="nil"/>
            </w:tcBorders>
            <w:vAlign w:val="center"/>
          </w:tcPr>
          <w:p w14:paraId="08517E59" w14:textId="7C61D303" w:rsidR="004C2CA2" w:rsidRPr="00654E38" w:rsidRDefault="004C2CA2" w:rsidP="00B60EE2">
            <w:pPr>
              <w:ind w:right="177"/>
              <w:jc w:val="right"/>
              <w:rPr>
                <w:rFonts w:cs="Arial"/>
                <w:color w:val="000000" w:themeColor="text1"/>
                <w:sz w:val="18"/>
                <w:szCs w:val="18"/>
              </w:rPr>
            </w:pPr>
            <w:r w:rsidRPr="00654E38">
              <w:rPr>
                <w:rFonts w:cs="Arial"/>
                <w:sz w:val="18"/>
                <w:szCs w:val="18"/>
              </w:rPr>
              <w:t>Vitamin B1</w:t>
            </w:r>
          </w:p>
        </w:tc>
        <w:tc>
          <w:tcPr>
            <w:tcW w:w="1628" w:type="dxa"/>
            <w:tcBorders>
              <w:top w:val="nil"/>
              <w:left w:val="nil"/>
              <w:bottom w:val="nil"/>
              <w:right w:val="nil"/>
            </w:tcBorders>
            <w:shd w:val="clear" w:color="auto" w:fill="auto"/>
            <w:vAlign w:val="center"/>
          </w:tcPr>
          <w:p w14:paraId="3968DB59" w14:textId="3EADA975" w:rsidR="004C2CA2" w:rsidRPr="00654E38" w:rsidRDefault="004C2CA2" w:rsidP="004C2CA2">
            <w:pPr>
              <w:jc w:val="center"/>
              <w:rPr>
                <w:rFonts w:cs="Arial"/>
                <w:color w:val="000000" w:themeColor="text1"/>
                <w:sz w:val="18"/>
                <w:szCs w:val="18"/>
              </w:rPr>
            </w:pPr>
            <w:r w:rsidRPr="00654E38">
              <w:rPr>
                <w:rFonts w:cs="Arial"/>
                <w:sz w:val="18"/>
                <w:szCs w:val="18"/>
              </w:rPr>
              <w:t>1.80 ± 0.72</w:t>
            </w:r>
          </w:p>
        </w:tc>
        <w:tc>
          <w:tcPr>
            <w:tcW w:w="1628" w:type="dxa"/>
            <w:tcBorders>
              <w:top w:val="nil"/>
              <w:left w:val="nil"/>
              <w:bottom w:val="nil"/>
              <w:right w:val="nil"/>
            </w:tcBorders>
            <w:shd w:val="clear" w:color="auto" w:fill="auto"/>
            <w:vAlign w:val="center"/>
          </w:tcPr>
          <w:p w14:paraId="0A105EDD" w14:textId="789DC5DB" w:rsidR="004C2CA2" w:rsidRPr="00654E38" w:rsidRDefault="004C2CA2" w:rsidP="004C2CA2">
            <w:pPr>
              <w:jc w:val="center"/>
              <w:rPr>
                <w:rFonts w:cs="Arial"/>
                <w:color w:val="000000" w:themeColor="text1"/>
                <w:sz w:val="18"/>
                <w:szCs w:val="18"/>
              </w:rPr>
            </w:pPr>
            <w:r w:rsidRPr="00654E38">
              <w:rPr>
                <w:rFonts w:cs="Arial"/>
                <w:sz w:val="18"/>
                <w:szCs w:val="18"/>
              </w:rPr>
              <w:t>1.67 ± 0.75</w:t>
            </w:r>
          </w:p>
        </w:tc>
        <w:tc>
          <w:tcPr>
            <w:tcW w:w="1628" w:type="dxa"/>
            <w:tcBorders>
              <w:top w:val="nil"/>
              <w:left w:val="nil"/>
              <w:bottom w:val="nil"/>
              <w:right w:val="nil"/>
            </w:tcBorders>
            <w:shd w:val="clear" w:color="auto" w:fill="F2DBDB" w:themeFill="accent2" w:themeFillTint="33"/>
            <w:vAlign w:val="center"/>
          </w:tcPr>
          <w:p w14:paraId="06B3B5F5" w14:textId="48142D74" w:rsidR="004C2CA2" w:rsidRPr="00654E38" w:rsidRDefault="004C2CA2" w:rsidP="004C2CA2">
            <w:pPr>
              <w:jc w:val="center"/>
              <w:rPr>
                <w:rFonts w:cs="Arial"/>
                <w:color w:val="000000" w:themeColor="text1"/>
                <w:sz w:val="18"/>
                <w:szCs w:val="18"/>
              </w:rPr>
            </w:pPr>
            <w:r w:rsidRPr="00654E38">
              <w:rPr>
                <w:rFonts w:cs="Arial"/>
                <w:sz w:val="18"/>
                <w:szCs w:val="18"/>
              </w:rPr>
              <w:t>1.46 ± 0.74</w:t>
            </w:r>
          </w:p>
        </w:tc>
        <w:tc>
          <w:tcPr>
            <w:tcW w:w="1629" w:type="dxa"/>
            <w:tcBorders>
              <w:top w:val="nil"/>
              <w:left w:val="nil"/>
              <w:bottom w:val="nil"/>
              <w:right w:val="nil"/>
            </w:tcBorders>
            <w:shd w:val="clear" w:color="auto" w:fill="FFFFFF" w:themeFill="background1"/>
            <w:vAlign w:val="center"/>
          </w:tcPr>
          <w:p w14:paraId="37583C90" w14:textId="5292A905" w:rsidR="004C2CA2" w:rsidRPr="00654E38" w:rsidRDefault="00B60EE2" w:rsidP="004C2CA2">
            <w:pPr>
              <w:jc w:val="center"/>
              <w:rPr>
                <w:rFonts w:cs="Arial"/>
                <w:color w:val="000000" w:themeColor="text1"/>
                <w:sz w:val="18"/>
                <w:szCs w:val="18"/>
              </w:rPr>
            </w:pPr>
            <w:r>
              <w:rPr>
                <w:rFonts w:cs="Arial"/>
                <w:color w:val="000000" w:themeColor="text1"/>
                <w:sz w:val="18"/>
                <w:szCs w:val="18"/>
              </w:rPr>
              <w:t>Yes</w:t>
            </w:r>
          </w:p>
        </w:tc>
      </w:tr>
      <w:tr w:rsidR="004C2CA2" w14:paraId="70255A79" w14:textId="77777777" w:rsidTr="00B60EE2">
        <w:trPr>
          <w:trHeight w:val="340"/>
        </w:trPr>
        <w:tc>
          <w:tcPr>
            <w:tcW w:w="2439" w:type="dxa"/>
            <w:tcBorders>
              <w:top w:val="nil"/>
              <w:left w:val="nil"/>
              <w:bottom w:val="nil"/>
              <w:right w:val="nil"/>
            </w:tcBorders>
            <w:vAlign w:val="center"/>
          </w:tcPr>
          <w:p w14:paraId="70A3CE84" w14:textId="6FDA84EC" w:rsidR="004C2CA2" w:rsidRPr="00654E38" w:rsidRDefault="004C2CA2" w:rsidP="00B60EE2">
            <w:pPr>
              <w:ind w:right="177"/>
              <w:jc w:val="right"/>
              <w:rPr>
                <w:rFonts w:cs="Arial"/>
                <w:color w:val="000000" w:themeColor="text1"/>
                <w:sz w:val="18"/>
                <w:szCs w:val="18"/>
              </w:rPr>
            </w:pPr>
            <w:r w:rsidRPr="00654E38">
              <w:rPr>
                <w:rFonts w:cs="Arial"/>
                <w:sz w:val="18"/>
                <w:szCs w:val="18"/>
              </w:rPr>
              <w:t>Vitamin B5</w:t>
            </w:r>
          </w:p>
        </w:tc>
        <w:tc>
          <w:tcPr>
            <w:tcW w:w="1628" w:type="dxa"/>
            <w:tcBorders>
              <w:top w:val="nil"/>
              <w:left w:val="nil"/>
              <w:bottom w:val="nil"/>
              <w:right w:val="nil"/>
            </w:tcBorders>
            <w:shd w:val="clear" w:color="auto" w:fill="auto"/>
            <w:vAlign w:val="center"/>
          </w:tcPr>
          <w:p w14:paraId="57369B3B" w14:textId="4C372EB1" w:rsidR="004C2CA2" w:rsidRPr="00654E38" w:rsidRDefault="004C2CA2" w:rsidP="004C2CA2">
            <w:pPr>
              <w:jc w:val="center"/>
              <w:rPr>
                <w:rFonts w:cs="Arial"/>
                <w:color w:val="000000" w:themeColor="text1"/>
                <w:sz w:val="18"/>
                <w:szCs w:val="18"/>
              </w:rPr>
            </w:pPr>
            <w:r w:rsidRPr="00654E38">
              <w:rPr>
                <w:rFonts w:cs="Arial"/>
                <w:sz w:val="18"/>
                <w:szCs w:val="18"/>
              </w:rPr>
              <w:t>8.64 ± 1.76</w:t>
            </w:r>
          </w:p>
        </w:tc>
        <w:tc>
          <w:tcPr>
            <w:tcW w:w="1628" w:type="dxa"/>
            <w:tcBorders>
              <w:top w:val="nil"/>
              <w:left w:val="nil"/>
              <w:bottom w:val="nil"/>
              <w:right w:val="nil"/>
            </w:tcBorders>
            <w:shd w:val="clear" w:color="auto" w:fill="auto"/>
            <w:vAlign w:val="center"/>
          </w:tcPr>
          <w:p w14:paraId="3B8E1A35" w14:textId="37CC4A89" w:rsidR="004C2CA2" w:rsidRPr="00654E38" w:rsidRDefault="004C2CA2" w:rsidP="004C2CA2">
            <w:pPr>
              <w:jc w:val="center"/>
              <w:rPr>
                <w:rFonts w:cs="Arial"/>
                <w:sz w:val="18"/>
                <w:szCs w:val="18"/>
              </w:rPr>
            </w:pPr>
            <w:r w:rsidRPr="00654E38">
              <w:rPr>
                <w:rFonts w:cs="Arial"/>
                <w:sz w:val="18"/>
                <w:szCs w:val="18"/>
              </w:rPr>
              <w:t>9.27 ± 2.23</w:t>
            </w:r>
          </w:p>
        </w:tc>
        <w:tc>
          <w:tcPr>
            <w:tcW w:w="1628" w:type="dxa"/>
            <w:tcBorders>
              <w:top w:val="nil"/>
              <w:left w:val="nil"/>
              <w:bottom w:val="nil"/>
              <w:right w:val="nil"/>
            </w:tcBorders>
            <w:shd w:val="clear" w:color="auto" w:fill="EAF1DD" w:themeFill="accent3" w:themeFillTint="33"/>
            <w:vAlign w:val="center"/>
          </w:tcPr>
          <w:p w14:paraId="64EE1B3F" w14:textId="3FD86A31" w:rsidR="004C2CA2" w:rsidRPr="00654E38" w:rsidRDefault="004C2CA2" w:rsidP="004C2CA2">
            <w:pPr>
              <w:jc w:val="center"/>
              <w:rPr>
                <w:rFonts w:cs="Arial"/>
                <w:color w:val="000000" w:themeColor="text1"/>
                <w:sz w:val="18"/>
                <w:szCs w:val="18"/>
              </w:rPr>
            </w:pPr>
            <w:r w:rsidRPr="00654E38">
              <w:rPr>
                <w:rFonts w:cs="Arial"/>
                <w:sz w:val="18"/>
                <w:szCs w:val="18"/>
              </w:rPr>
              <w:t>9.50 ± 2.22</w:t>
            </w:r>
          </w:p>
        </w:tc>
        <w:tc>
          <w:tcPr>
            <w:tcW w:w="1629" w:type="dxa"/>
            <w:tcBorders>
              <w:top w:val="nil"/>
              <w:left w:val="nil"/>
              <w:bottom w:val="nil"/>
              <w:right w:val="nil"/>
            </w:tcBorders>
            <w:shd w:val="clear" w:color="auto" w:fill="FFFFFF" w:themeFill="background1"/>
            <w:vAlign w:val="center"/>
          </w:tcPr>
          <w:p w14:paraId="1D98208C" w14:textId="003DC442" w:rsidR="004C2CA2" w:rsidRPr="00654E38" w:rsidRDefault="00B60EE2" w:rsidP="004C2CA2">
            <w:pPr>
              <w:jc w:val="center"/>
              <w:rPr>
                <w:rFonts w:cs="Arial"/>
                <w:color w:val="000000" w:themeColor="text1"/>
                <w:sz w:val="18"/>
                <w:szCs w:val="18"/>
              </w:rPr>
            </w:pPr>
            <w:r>
              <w:rPr>
                <w:rFonts w:cs="Arial"/>
                <w:color w:val="000000" w:themeColor="text1"/>
                <w:sz w:val="18"/>
                <w:szCs w:val="18"/>
              </w:rPr>
              <w:t>Yes</w:t>
            </w:r>
          </w:p>
        </w:tc>
      </w:tr>
      <w:tr w:rsidR="004C2CA2" w14:paraId="7A96F976" w14:textId="77777777" w:rsidTr="00B60EE2">
        <w:trPr>
          <w:trHeight w:val="340"/>
        </w:trPr>
        <w:tc>
          <w:tcPr>
            <w:tcW w:w="2439" w:type="dxa"/>
            <w:tcBorders>
              <w:top w:val="nil"/>
              <w:left w:val="nil"/>
              <w:bottom w:val="nil"/>
              <w:right w:val="nil"/>
            </w:tcBorders>
            <w:vAlign w:val="center"/>
          </w:tcPr>
          <w:p w14:paraId="640CB5F6" w14:textId="3720F5DE" w:rsidR="004C2CA2" w:rsidRPr="00654E38" w:rsidRDefault="004C2CA2" w:rsidP="00B60EE2">
            <w:pPr>
              <w:ind w:right="177"/>
              <w:jc w:val="right"/>
              <w:rPr>
                <w:rFonts w:cs="Arial"/>
                <w:color w:val="000000" w:themeColor="text1"/>
                <w:sz w:val="18"/>
                <w:szCs w:val="18"/>
              </w:rPr>
            </w:pPr>
            <w:r w:rsidRPr="00654E38">
              <w:rPr>
                <w:rFonts w:cs="Arial"/>
                <w:sz w:val="18"/>
                <w:szCs w:val="18"/>
              </w:rPr>
              <w:t>Vitamin B9</w:t>
            </w:r>
          </w:p>
        </w:tc>
        <w:tc>
          <w:tcPr>
            <w:tcW w:w="1628" w:type="dxa"/>
            <w:tcBorders>
              <w:top w:val="nil"/>
              <w:left w:val="nil"/>
              <w:bottom w:val="nil"/>
              <w:right w:val="nil"/>
            </w:tcBorders>
            <w:shd w:val="clear" w:color="auto" w:fill="auto"/>
            <w:vAlign w:val="center"/>
          </w:tcPr>
          <w:p w14:paraId="56AD8EAF" w14:textId="3A1BE6D8" w:rsidR="004C2CA2" w:rsidRPr="00654E38" w:rsidRDefault="004C2CA2" w:rsidP="004C2CA2">
            <w:pPr>
              <w:jc w:val="center"/>
              <w:rPr>
                <w:rFonts w:cs="Arial"/>
                <w:color w:val="000000" w:themeColor="text1"/>
                <w:sz w:val="18"/>
                <w:szCs w:val="18"/>
              </w:rPr>
            </w:pPr>
            <w:r w:rsidRPr="00654E38">
              <w:rPr>
                <w:rFonts w:cs="Arial"/>
                <w:sz w:val="18"/>
                <w:szCs w:val="18"/>
              </w:rPr>
              <w:t>5.50 ± 1.64</w:t>
            </w:r>
          </w:p>
        </w:tc>
        <w:tc>
          <w:tcPr>
            <w:tcW w:w="1628" w:type="dxa"/>
            <w:tcBorders>
              <w:top w:val="nil"/>
              <w:left w:val="nil"/>
              <w:bottom w:val="nil"/>
              <w:right w:val="nil"/>
            </w:tcBorders>
            <w:shd w:val="clear" w:color="auto" w:fill="auto"/>
            <w:vAlign w:val="center"/>
          </w:tcPr>
          <w:p w14:paraId="5B79007A" w14:textId="02F05D5C" w:rsidR="004C2CA2" w:rsidRPr="00654E38" w:rsidRDefault="004C2CA2" w:rsidP="004C2CA2">
            <w:pPr>
              <w:jc w:val="center"/>
              <w:rPr>
                <w:rFonts w:cs="Arial"/>
                <w:color w:val="000000" w:themeColor="text1"/>
                <w:sz w:val="18"/>
                <w:szCs w:val="18"/>
              </w:rPr>
            </w:pPr>
            <w:r w:rsidRPr="00654E38">
              <w:rPr>
                <w:rFonts w:cs="Arial"/>
                <w:sz w:val="18"/>
                <w:szCs w:val="18"/>
              </w:rPr>
              <w:t>6.43 ± 2.02</w:t>
            </w:r>
          </w:p>
        </w:tc>
        <w:tc>
          <w:tcPr>
            <w:tcW w:w="1628" w:type="dxa"/>
            <w:tcBorders>
              <w:top w:val="nil"/>
              <w:left w:val="nil"/>
              <w:bottom w:val="nil"/>
              <w:right w:val="nil"/>
            </w:tcBorders>
            <w:shd w:val="clear" w:color="auto" w:fill="EAF1DD" w:themeFill="accent3" w:themeFillTint="33"/>
            <w:vAlign w:val="center"/>
          </w:tcPr>
          <w:p w14:paraId="5B47B420" w14:textId="0761E833" w:rsidR="004C2CA2" w:rsidRPr="00654E38" w:rsidRDefault="004C2CA2" w:rsidP="004C2CA2">
            <w:pPr>
              <w:jc w:val="center"/>
              <w:rPr>
                <w:rFonts w:cs="Arial"/>
                <w:color w:val="000000" w:themeColor="text1"/>
                <w:sz w:val="18"/>
                <w:szCs w:val="18"/>
              </w:rPr>
            </w:pPr>
            <w:r w:rsidRPr="00654E38">
              <w:rPr>
                <w:rFonts w:cs="Arial"/>
                <w:sz w:val="18"/>
                <w:szCs w:val="18"/>
              </w:rPr>
              <w:t>6.77 ± 2.50</w:t>
            </w:r>
          </w:p>
        </w:tc>
        <w:tc>
          <w:tcPr>
            <w:tcW w:w="1629" w:type="dxa"/>
            <w:tcBorders>
              <w:top w:val="nil"/>
              <w:left w:val="nil"/>
              <w:bottom w:val="nil"/>
              <w:right w:val="nil"/>
            </w:tcBorders>
            <w:shd w:val="clear" w:color="auto" w:fill="FFFFFF" w:themeFill="background1"/>
            <w:vAlign w:val="center"/>
          </w:tcPr>
          <w:p w14:paraId="68D626AF" w14:textId="656F6CA9" w:rsidR="004C2CA2" w:rsidRPr="00654E38" w:rsidRDefault="00B60EE2" w:rsidP="004C2CA2">
            <w:pPr>
              <w:jc w:val="center"/>
              <w:rPr>
                <w:rFonts w:cs="Arial"/>
                <w:color w:val="000000" w:themeColor="text1"/>
                <w:sz w:val="18"/>
                <w:szCs w:val="18"/>
              </w:rPr>
            </w:pPr>
            <w:r>
              <w:rPr>
                <w:rFonts w:cs="Arial"/>
                <w:color w:val="000000" w:themeColor="text1"/>
                <w:sz w:val="18"/>
                <w:szCs w:val="18"/>
              </w:rPr>
              <w:t>Yes</w:t>
            </w:r>
          </w:p>
        </w:tc>
      </w:tr>
      <w:tr w:rsidR="004C2CA2" w14:paraId="356CF104" w14:textId="77777777" w:rsidTr="00B60EE2">
        <w:trPr>
          <w:trHeight w:val="340"/>
        </w:trPr>
        <w:tc>
          <w:tcPr>
            <w:tcW w:w="2439" w:type="dxa"/>
            <w:tcBorders>
              <w:top w:val="nil"/>
              <w:left w:val="nil"/>
              <w:bottom w:val="nil"/>
              <w:right w:val="nil"/>
            </w:tcBorders>
            <w:vAlign w:val="center"/>
          </w:tcPr>
          <w:p w14:paraId="2D261CA7" w14:textId="09F848A4" w:rsidR="004C2CA2" w:rsidRPr="00654E38" w:rsidRDefault="004C2CA2" w:rsidP="00B60EE2">
            <w:pPr>
              <w:ind w:right="177"/>
              <w:jc w:val="right"/>
              <w:rPr>
                <w:rFonts w:cs="Arial"/>
                <w:sz w:val="18"/>
                <w:szCs w:val="18"/>
              </w:rPr>
            </w:pPr>
            <w:r w:rsidRPr="00654E38">
              <w:rPr>
                <w:rFonts w:cs="Arial"/>
                <w:sz w:val="18"/>
                <w:szCs w:val="18"/>
              </w:rPr>
              <w:t>Calcium</w:t>
            </w:r>
          </w:p>
        </w:tc>
        <w:tc>
          <w:tcPr>
            <w:tcW w:w="1628" w:type="dxa"/>
            <w:tcBorders>
              <w:top w:val="nil"/>
              <w:left w:val="nil"/>
              <w:bottom w:val="nil"/>
              <w:right w:val="nil"/>
            </w:tcBorders>
            <w:shd w:val="clear" w:color="auto" w:fill="auto"/>
            <w:vAlign w:val="center"/>
          </w:tcPr>
          <w:p w14:paraId="2A260923" w14:textId="5A393260" w:rsidR="004C2CA2" w:rsidRPr="00654E38" w:rsidRDefault="004C2CA2" w:rsidP="004C2CA2">
            <w:pPr>
              <w:jc w:val="center"/>
              <w:rPr>
                <w:rFonts w:cs="Arial"/>
                <w:color w:val="000000" w:themeColor="text1"/>
                <w:sz w:val="18"/>
                <w:szCs w:val="18"/>
              </w:rPr>
            </w:pPr>
            <w:r w:rsidRPr="00654E38">
              <w:rPr>
                <w:rFonts w:cs="Arial"/>
                <w:sz w:val="18"/>
                <w:szCs w:val="18"/>
              </w:rPr>
              <w:t>2547 ± 362</w:t>
            </w:r>
          </w:p>
        </w:tc>
        <w:tc>
          <w:tcPr>
            <w:tcW w:w="1628" w:type="dxa"/>
            <w:tcBorders>
              <w:top w:val="nil"/>
              <w:left w:val="nil"/>
              <w:bottom w:val="nil"/>
              <w:right w:val="nil"/>
            </w:tcBorders>
            <w:shd w:val="clear" w:color="auto" w:fill="auto"/>
            <w:vAlign w:val="center"/>
          </w:tcPr>
          <w:p w14:paraId="4F3EB9DE" w14:textId="60DAE8B7" w:rsidR="004C2CA2" w:rsidRPr="00654E38" w:rsidRDefault="004C2CA2" w:rsidP="004C2CA2">
            <w:pPr>
              <w:jc w:val="center"/>
              <w:rPr>
                <w:rFonts w:cs="Arial"/>
                <w:color w:val="000000" w:themeColor="text1"/>
                <w:sz w:val="18"/>
                <w:szCs w:val="18"/>
              </w:rPr>
            </w:pPr>
            <w:r w:rsidRPr="00654E38">
              <w:rPr>
                <w:rFonts w:cs="Arial"/>
                <w:sz w:val="18"/>
                <w:szCs w:val="18"/>
              </w:rPr>
              <w:t>2435 ± 345</w:t>
            </w:r>
          </w:p>
        </w:tc>
        <w:tc>
          <w:tcPr>
            <w:tcW w:w="1628" w:type="dxa"/>
            <w:tcBorders>
              <w:top w:val="nil"/>
              <w:left w:val="nil"/>
              <w:bottom w:val="nil"/>
              <w:right w:val="nil"/>
            </w:tcBorders>
            <w:shd w:val="clear" w:color="auto" w:fill="F2DBDB" w:themeFill="accent2" w:themeFillTint="33"/>
            <w:vAlign w:val="center"/>
          </w:tcPr>
          <w:p w14:paraId="10394EB9" w14:textId="37770CBC" w:rsidR="004C2CA2" w:rsidRPr="00654E38" w:rsidRDefault="004C2CA2" w:rsidP="004C2CA2">
            <w:pPr>
              <w:jc w:val="center"/>
              <w:rPr>
                <w:rFonts w:cs="Arial"/>
                <w:color w:val="000000" w:themeColor="text1"/>
                <w:sz w:val="18"/>
                <w:szCs w:val="18"/>
              </w:rPr>
            </w:pPr>
            <w:r w:rsidRPr="00654E38">
              <w:rPr>
                <w:rFonts w:cs="Arial"/>
                <w:sz w:val="18"/>
                <w:szCs w:val="18"/>
              </w:rPr>
              <w:t>2343 ± 334</w:t>
            </w:r>
          </w:p>
        </w:tc>
        <w:tc>
          <w:tcPr>
            <w:tcW w:w="1629" w:type="dxa"/>
            <w:tcBorders>
              <w:top w:val="nil"/>
              <w:left w:val="nil"/>
              <w:bottom w:val="nil"/>
              <w:right w:val="nil"/>
            </w:tcBorders>
            <w:shd w:val="clear" w:color="auto" w:fill="FFFFFF" w:themeFill="background1"/>
            <w:vAlign w:val="center"/>
          </w:tcPr>
          <w:p w14:paraId="018DBBDE" w14:textId="19773BA8" w:rsidR="004C2CA2" w:rsidRPr="00654E38" w:rsidRDefault="00B60EE2" w:rsidP="004C2CA2">
            <w:pPr>
              <w:jc w:val="center"/>
              <w:rPr>
                <w:rFonts w:cs="Arial"/>
                <w:color w:val="000000" w:themeColor="text1"/>
                <w:sz w:val="18"/>
                <w:szCs w:val="18"/>
              </w:rPr>
            </w:pPr>
            <w:r>
              <w:rPr>
                <w:rFonts w:cs="Arial"/>
                <w:color w:val="000000" w:themeColor="text1"/>
                <w:sz w:val="18"/>
                <w:szCs w:val="18"/>
              </w:rPr>
              <w:t>Yes</w:t>
            </w:r>
          </w:p>
        </w:tc>
      </w:tr>
      <w:tr w:rsidR="004C2CA2" w14:paraId="58CB4A83" w14:textId="77777777" w:rsidTr="00B60EE2">
        <w:trPr>
          <w:trHeight w:val="340"/>
        </w:trPr>
        <w:tc>
          <w:tcPr>
            <w:tcW w:w="2439" w:type="dxa"/>
            <w:tcBorders>
              <w:top w:val="nil"/>
              <w:left w:val="nil"/>
              <w:bottom w:val="nil"/>
              <w:right w:val="nil"/>
            </w:tcBorders>
            <w:vAlign w:val="center"/>
          </w:tcPr>
          <w:p w14:paraId="47CEE214" w14:textId="43F2031E" w:rsidR="004C2CA2" w:rsidRPr="00654E38" w:rsidRDefault="004C2CA2" w:rsidP="00B60EE2">
            <w:pPr>
              <w:ind w:right="177"/>
              <w:jc w:val="right"/>
              <w:rPr>
                <w:rFonts w:cs="Arial"/>
                <w:sz w:val="18"/>
                <w:szCs w:val="18"/>
              </w:rPr>
            </w:pPr>
            <w:r w:rsidRPr="00654E38">
              <w:rPr>
                <w:rFonts w:cs="Arial"/>
                <w:sz w:val="18"/>
                <w:szCs w:val="18"/>
              </w:rPr>
              <w:t>Copper</w:t>
            </w:r>
          </w:p>
        </w:tc>
        <w:tc>
          <w:tcPr>
            <w:tcW w:w="1628" w:type="dxa"/>
            <w:tcBorders>
              <w:top w:val="nil"/>
              <w:left w:val="nil"/>
              <w:bottom w:val="nil"/>
              <w:right w:val="nil"/>
            </w:tcBorders>
            <w:shd w:val="clear" w:color="auto" w:fill="auto"/>
            <w:vAlign w:val="center"/>
          </w:tcPr>
          <w:p w14:paraId="66C3E338" w14:textId="1B386A71" w:rsidR="004C2CA2" w:rsidRPr="00654E38" w:rsidRDefault="004C2CA2" w:rsidP="004C2CA2">
            <w:pPr>
              <w:jc w:val="center"/>
              <w:rPr>
                <w:rFonts w:cs="Arial"/>
                <w:color w:val="000000" w:themeColor="text1"/>
                <w:sz w:val="18"/>
                <w:szCs w:val="18"/>
              </w:rPr>
            </w:pPr>
            <w:r w:rsidRPr="00654E38">
              <w:rPr>
                <w:rFonts w:cs="Arial"/>
                <w:sz w:val="18"/>
                <w:szCs w:val="18"/>
              </w:rPr>
              <w:t>14.8 ± 4.50</w:t>
            </w:r>
          </w:p>
        </w:tc>
        <w:tc>
          <w:tcPr>
            <w:tcW w:w="1628" w:type="dxa"/>
            <w:tcBorders>
              <w:top w:val="nil"/>
              <w:left w:val="nil"/>
              <w:bottom w:val="nil"/>
              <w:right w:val="nil"/>
            </w:tcBorders>
            <w:shd w:val="clear" w:color="auto" w:fill="auto"/>
            <w:vAlign w:val="center"/>
          </w:tcPr>
          <w:p w14:paraId="03F0BFE7" w14:textId="5E58286C" w:rsidR="004C2CA2" w:rsidRPr="00654E38" w:rsidRDefault="004C2CA2" w:rsidP="004C2CA2">
            <w:pPr>
              <w:jc w:val="center"/>
              <w:rPr>
                <w:rFonts w:cs="Arial"/>
                <w:color w:val="000000" w:themeColor="text1"/>
                <w:sz w:val="18"/>
                <w:szCs w:val="18"/>
              </w:rPr>
            </w:pPr>
            <w:r w:rsidRPr="00654E38">
              <w:rPr>
                <w:rFonts w:cs="Arial"/>
                <w:sz w:val="18"/>
                <w:szCs w:val="18"/>
              </w:rPr>
              <w:t>14.8 ± 3.44</w:t>
            </w:r>
          </w:p>
        </w:tc>
        <w:tc>
          <w:tcPr>
            <w:tcW w:w="1628" w:type="dxa"/>
            <w:tcBorders>
              <w:top w:val="nil"/>
              <w:left w:val="nil"/>
              <w:bottom w:val="nil"/>
              <w:right w:val="nil"/>
            </w:tcBorders>
            <w:shd w:val="clear" w:color="auto" w:fill="F2DBDB" w:themeFill="accent2" w:themeFillTint="33"/>
            <w:vAlign w:val="center"/>
          </w:tcPr>
          <w:p w14:paraId="45FEAB41" w14:textId="771399FD" w:rsidR="004C2CA2" w:rsidRPr="00654E38" w:rsidRDefault="004C2CA2" w:rsidP="004C2CA2">
            <w:pPr>
              <w:jc w:val="center"/>
              <w:rPr>
                <w:rFonts w:cs="Arial"/>
                <w:color w:val="000000" w:themeColor="text1"/>
                <w:sz w:val="18"/>
                <w:szCs w:val="18"/>
              </w:rPr>
            </w:pPr>
            <w:r w:rsidRPr="00654E38">
              <w:rPr>
                <w:rFonts w:cs="Arial"/>
                <w:sz w:val="18"/>
                <w:szCs w:val="18"/>
              </w:rPr>
              <w:t>13.3 ± 2.61</w:t>
            </w:r>
          </w:p>
        </w:tc>
        <w:tc>
          <w:tcPr>
            <w:tcW w:w="1629" w:type="dxa"/>
            <w:tcBorders>
              <w:top w:val="nil"/>
              <w:left w:val="nil"/>
              <w:bottom w:val="nil"/>
              <w:right w:val="nil"/>
            </w:tcBorders>
            <w:shd w:val="clear" w:color="auto" w:fill="FFFFFF" w:themeFill="background1"/>
            <w:vAlign w:val="center"/>
          </w:tcPr>
          <w:p w14:paraId="55FCA824" w14:textId="489FD3EC" w:rsidR="004C2CA2" w:rsidRPr="00654E38" w:rsidRDefault="00B60EE2" w:rsidP="004C2CA2">
            <w:pPr>
              <w:jc w:val="center"/>
              <w:rPr>
                <w:rFonts w:cs="Arial"/>
                <w:color w:val="000000" w:themeColor="text1"/>
                <w:sz w:val="18"/>
                <w:szCs w:val="18"/>
              </w:rPr>
            </w:pPr>
            <w:r>
              <w:rPr>
                <w:rFonts w:cs="Arial"/>
                <w:color w:val="000000" w:themeColor="text1"/>
                <w:sz w:val="18"/>
                <w:szCs w:val="18"/>
              </w:rPr>
              <w:t>Yes</w:t>
            </w:r>
          </w:p>
        </w:tc>
      </w:tr>
      <w:tr w:rsidR="004C2CA2" w14:paraId="7AEA2D93" w14:textId="77777777" w:rsidTr="00B60EE2">
        <w:trPr>
          <w:trHeight w:val="340"/>
        </w:trPr>
        <w:tc>
          <w:tcPr>
            <w:tcW w:w="2439" w:type="dxa"/>
            <w:tcBorders>
              <w:top w:val="nil"/>
              <w:left w:val="nil"/>
              <w:bottom w:val="nil"/>
              <w:right w:val="nil"/>
            </w:tcBorders>
            <w:vAlign w:val="center"/>
          </w:tcPr>
          <w:p w14:paraId="4588FF57" w14:textId="17534A58" w:rsidR="004C2CA2" w:rsidRPr="00654E38" w:rsidRDefault="004C2CA2" w:rsidP="00B60EE2">
            <w:pPr>
              <w:ind w:right="177"/>
              <w:jc w:val="right"/>
              <w:rPr>
                <w:rFonts w:cs="Arial"/>
                <w:sz w:val="18"/>
                <w:szCs w:val="18"/>
              </w:rPr>
            </w:pPr>
            <w:r w:rsidRPr="00654E38">
              <w:rPr>
                <w:rFonts w:cs="Arial"/>
                <w:sz w:val="18"/>
                <w:szCs w:val="18"/>
              </w:rPr>
              <w:t>Zinc</w:t>
            </w:r>
          </w:p>
        </w:tc>
        <w:tc>
          <w:tcPr>
            <w:tcW w:w="1628" w:type="dxa"/>
            <w:tcBorders>
              <w:top w:val="nil"/>
              <w:left w:val="nil"/>
              <w:bottom w:val="nil"/>
              <w:right w:val="nil"/>
            </w:tcBorders>
            <w:shd w:val="clear" w:color="auto" w:fill="auto"/>
            <w:vAlign w:val="center"/>
          </w:tcPr>
          <w:p w14:paraId="33B896DB" w14:textId="2D2D2CBA" w:rsidR="004C2CA2" w:rsidRPr="00654E38" w:rsidRDefault="004C2CA2" w:rsidP="004C2CA2">
            <w:pPr>
              <w:jc w:val="center"/>
              <w:rPr>
                <w:rFonts w:cs="Arial"/>
                <w:color w:val="000000" w:themeColor="text1"/>
                <w:sz w:val="18"/>
                <w:szCs w:val="18"/>
              </w:rPr>
            </w:pPr>
            <w:r w:rsidRPr="00654E38">
              <w:rPr>
                <w:rFonts w:cs="Arial"/>
                <w:sz w:val="18"/>
                <w:szCs w:val="18"/>
              </w:rPr>
              <w:t>58.4 ± 11.47</w:t>
            </w:r>
          </w:p>
        </w:tc>
        <w:tc>
          <w:tcPr>
            <w:tcW w:w="1628" w:type="dxa"/>
            <w:tcBorders>
              <w:top w:val="nil"/>
              <w:left w:val="nil"/>
              <w:bottom w:val="nil"/>
              <w:right w:val="nil"/>
            </w:tcBorders>
            <w:shd w:val="clear" w:color="auto" w:fill="auto"/>
            <w:vAlign w:val="center"/>
          </w:tcPr>
          <w:p w14:paraId="4B8018C3" w14:textId="3919A021" w:rsidR="004C2CA2" w:rsidRPr="00654E38" w:rsidRDefault="004C2CA2" w:rsidP="004C2CA2">
            <w:pPr>
              <w:jc w:val="center"/>
              <w:rPr>
                <w:rFonts w:cs="Arial"/>
                <w:color w:val="000000" w:themeColor="text1"/>
                <w:sz w:val="18"/>
                <w:szCs w:val="18"/>
              </w:rPr>
            </w:pPr>
            <w:r w:rsidRPr="00654E38">
              <w:rPr>
                <w:rFonts w:cs="Arial"/>
                <w:sz w:val="18"/>
                <w:szCs w:val="18"/>
              </w:rPr>
              <w:t>57.7 ± 13.47</w:t>
            </w:r>
          </w:p>
        </w:tc>
        <w:tc>
          <w:tcPr>
            <w:tcW w:w="1628" w:type="dxa"/>
            <w:tcBorders>
              <w:top w:val="nil"/>
              <w:left w:val="nil"/>
              <w:bottom w:val="nil"/>
              <w:right w:val="nil"/>
            </w:tcBorders>
            <w:shd w:val="clear" w:color="auto" w:fill="F2DBDB" w:themeFill="accent2" w:themeFillTint="33"/>
            <w:vAlign w:val="center"/>
          </w:tcPr>
          <w:p w14:paraId="0C42DC71" w14:textId="2720F38C" w:rsidR="004C2CA2" w:rsidRPr="00654E38" w:rsidRDefault="004C2CA2" w:rsidP="004C2CA2">
            <w:pPr>
              <w:jc w:val="center"/>
              <w:rPr>
                <w:rFonts w:cs="Arial"/>
                <w:color w:val="000000" w:themeColor="text1"/>
                <w:sz w:val="18"/>
                <w:szCs w:val="18"/>
              </w:rPr>
            </w:pPr>
            <w:r w:rsidRPr="00654E38">
              <w:rPr>
                <w:rFonts w:cs="Arial"/>
                <w:sz w:val="18"/>
                <w:szCs w:val="18"/>
              </w:rPr>
              <w:t>54.2 ± 9.90</w:t>
            </w:r>
          </w:p>
        </w:tc>
        <w:tc>
          <w:tcPr>
            <w:tcW w:w="1629" w:type="dxa"/>
            <w:tcBorders>
              <w:top w:val="nil"/>
              <w:left w:val="nil"/>
              <w:bottom w:val="nil"/>
              <w:right w:val="nil"/>
            </w:tcBorders>
            <w:shd w:val="clear" w:color="auto" w:fill="FFFFFF" w:themeFill="background1"/>
            <w:vAlign w:val="center"/>
          </w:tcPr>
          <w:p w14:paraId="7C0F883B" w14:textId="324B82A0" w:rsidR="004C2CA2" w:rsidRPr="00654E38" w:rsidRDefault="00B60EE2" w:rsidP="004C2CA2">
            <w:pPr>
              <w:jc w:val="center"/>
              <w:rPr>
                <w:rFonts w:cs="Arial"/>
                <w:color w:val="000000" w:themeColor="text1"/>
                <w:sz w:val="18"/>
                <w:szCs w:val="18"/>
              </w:rPr>
            </w:pPr>
            <w:r>
              <w:rPr>
                <w:rFonts w:cs="Arial"/>
                <w:color w:val="000000" w:themeColor="text1"/>
                <w:sz w:val="18"/>
                <w:szCs w:val="18"/>
              </w:rPr>
              <w:t>Yes</w:t>
            </w:r>
          </w:p>
        </w:tc>
      </w:tr>
      <w:tr w:rsidR="004C2CA2" w14:paraId="11F34312" w14:textId="77777777" w:rsidTr="00654E38">
        <w:trPr>
          <w:trHeight w:val="340"/>
        </w:trPr>
        <w:tc>
          <w:tcPr>
            <w:tcW w:w="2439" w:type="dxa"/>
            <w:tcBorders>
              <w:top w:val="nil"/>
              <w:left w:val="nil"/>
              <w:bottom w:val="nil"/>
              <w:right w:val="nil"/>
            </w:tcBorders>
            <w:vAlign w:val="center"/>
          </w:tcPr>
          <w:p w14:paraId="4E991D71" w14:textId="4DCC0D4B" w:rsidR="004C2CA2" w:rsidRPr="00654E38" w:rsidRDefault="004C2CA2" w:rsidP="00B60EE2">
            <w:pPr>
              <w:ind w:right="177"/>
              <w:jc w:val="right"/>
              <w:rPr>
                <w:rFonts w:cs="Arial"/>
                <w:sz w:val="18"/>
                <w:szCs w:val="18"/>
              </w:rPr>
            </w:pPr>
            <w:r w:rsidRPr="00654E38">
              <w:rPr>
                <w:rFonts w:cs="Arial"/>
                <w:sz w:val="18"/>
                <w:szCs w:val="18"/>
              </w:rPr>
              <w:t>C16:0 Palmitic Acid</w:t>
            </w:r>
          </w:p>
        </w:tc>
        <w:tc>
          <w:tcPr>
            <w:tcW w:w="1628" w:type="dxa"/>
            <w:tcBorders>
              <w:top w:val="nil"/>
              <w:left w:val="nil"/>
              <w:bottom w:val="nil"/>
              <w:right w:val="nil"/>
            </w:tcBorders>
            <w:shd w:val="clear" w:color="auto" w:fill="auto"/>
            <w:vAlign w:val="center"/>
          </w:tcPr>
          <w:p w14:paraId="630B4D78" w14:textId="35F1D807" w:rsidR="004C2CA2" w:rsidRPr="00654E38" w:rsidRDefault="004C2CA2" w:rsidP="004C2CA2">
            <w:pPr>
              <w:jc w:val="center"/>
              <w:rPr>
                <w:rFonts w:cs="Arial"/>
                <w:color w:val="000000" w:themeColor="text1"/>
                <w:sz w:val="18"/>
                <w:szCs w:val="18"/>
              </w:rPr>
            </w:pPr>
            <w:r w:rsidRPr="00654E38">
              <w:rPr>
                <w:rFonts w:cs="Arial"/>
                <w:sz w:val="18"/>
                <w:szCs w:val="18"/>
              </w:rPr>
              <w:t>11.0 ± 0.24</w:t>
            </w:r>
          </w:p>
        </w:tc>
        <w:tc>
          <w:tcPr>
            <w:tcW w:w="1628" w:type="dxa"/>
            <w:tcBorders>
              <w:top w:val="nil"/>
              <w:left w:val="nil"/>
              <w:bottom w:val="nil"/>
              <w:right w:val="nil"/>
            </w:tcBorders>
            <w:shd w:val="clear" w:color="auto" w:fill="F2DBDB" w:themeFill="accent2" w:themeFillTint="33"/>
            <w:vAlign w:val="center"/>
          </w:tcPr>
          <w:p w14:paraId="43A7D121" w14:textId="19F949A1" w:rsidR="004C2CA2" w:rsidRPr="00654E38" w:rsidRDefault="004C2CA2" w:rsidP="004C2CA2">
            <w:pPr>
              <w:jc w:val="center"/>
              <w:rPr>
                <w:rFonts w:cs="Arial"/>
                <w:color w:val="000000" w:themeColor="text1"/>
                <w:sz w:val="18"/>
                <w:szCs w:val="18"/>
              </w:rPr>
            </w:pPr>
            <w:r w:rsidRPr="00654E38">
              <w:rPr>
                <w:rFonts w:cs="Arial"/>
                <w:sz w:val="18"/>
                <w:szCs w:val="18"/>
              </w:rPr>
              <w:t>10.6 ± 0.27</w:t>
            </w:r>
          </w:p>
        </w:tc>
        <w:tc>
          <w:tcPr>
            <w:tcW w:w="1628" w:type="dxa"/>
            <w:tcBorders>
              <w:top w:val="nil"/>
              <w:left w:val="nil"/>
              <w:bottom w:val="nil"/>
              <w:right w:val="nil"/>
            </w:tcBorders>
            <w:shd w:val="clear" w:color="auto" w:fill="F2DBDB" w:themeFill="accent2" w:themeFillTint="33"/>
            <w:vAlign w:val="center"/>
          </w:tcPr>
          <w:p w14:paraId="180EC558" w14:textId="0B8A6B1A" w:rsidR="004C2CA2" w:rsidRPr="00654E38" w:rsidRDefault="004C2CA2" w:rsidP="004C2CA2">
            <w:pPr>
              <w:jc w:val="center"/>
              <w:rPr>
                <w:rFonts w:cs="Arial"/>
                <w:color w:val="000000" w:themeColor="text1"/>
                <w:sz w:val="18"/>
                <w:szCs w:val="18"/>
              </w:rPr>
            </w:pPr>
            <w:r w:rsidRPr="00654E38">
              <w:rPr>
                <w:rFonts w:cs="Arial"/>
                <w:sz w:val="18"/>
                <w:szCs w:val="18"/>
              </w:rPr>
              <w:t>10.7 ± 0.27</w:t>
            </w:r>
          </w:p>
        </w:tc>
        <w:tc>
          <w:tcPr>
            <w:tcW w:w="1629" w:type="dxa"/>
            <w:tcBorders>
              <w:top w:val="nil"/>
              <w:left w:val="nil"/>
              <w:bottom w:val="nil"/>
              <w:right w:val="nil"/>
            </w:tcBorders>
            <w:shd w:val="clear" w:color="auto" w:fill="FFFFFF" w:themeFill="background1"/>
            <w:vAlign w:val="center"/>
          </w:tcPr>
          <w:p w14:paraId="09B57918" w14:textId="2B8B10B6" w:rsidR="004C2CA2" w:rsidRPr="00654E38" w:rsidRDefault="00B60EE2" w:rsidP="004C2CA2">
            <w:pPr>
              <w:jc w:val="center"/>
              <w:rPr>
                <w:rFonts w:cs="Arial"/>
                <w:color w:val="000000" w:themeColor="text1"/>
                <w:sz w:val="18"/>
                <w:szCs w:val="18"/>
              </w:rPr>
            </w:pPr>
            <w:r>
              <w:rPr>
                <w:rFonts w:cs="Arial"/>
                <w:color w:val="000000" w:themeColor="text1"/>
                <w:sz w:val="18"/>
                <w:szCs w:val="18"/>
              </w:rPr>
              <w:t>Yes</w:t>
            </w:r>
          </w:p>
        </w:tc>
      </w:tr>
      <w:tr w:rsidR="00654E38" w14:paraId="0CEAE756" w14:textId="77777777" w:rsidTr="00654E38">
        <w:trPr>
          <w:trHeight w:val="340"/>
        </w:trPr>
        <w:tc>
          <w:tcPr>
            <w:tcW w:w="2439" w:type="dxa"/>
            <w:tcBorders>
              <w:top w:val="nil"/>
              <w:left w:val="nil"/>
              <w:bottom w:val="nil"/>
              <w:right w:val="nil"/>
            </w:tcBorders>
            <w:vAlign w:val="center"/>
          </w:tcPr>
          <w:p w14:paraId="2889036F" w14:textId="5E407EBD" w:rsidR="00654E38" w:rsidRPr="00654E38" w:rsidRDefault="00654E38" w:rsidP="00B60EE2">
            <w:pPr>
              <w:ind w:right="177"/>
              <w:jc w:val="right"/>
              <w:rPr>
                <w:rFonts w:cs="Arial"/>
                <w:sz w:val="18"/>
                <w:szCs w:val="18"/>
              </w:rPr>
            </w:pPr>
            <w:r w:rsidRPr="00654E38">
              <w:rPr>
                <w:rFonts w:cs="Arial"/>
                <w:sz w:val="18"/>
                <w:szCs w:val="18"/>
              </w:rPr>
              <w:t>C17:1 Heptadecenoic Acid</w:t>
            </w:r>
          </w:p>
        </w:tc>
        <w:tc>
          <w:tcPr>
            <w:tcW w:w="1628" w:type="dxa"/>
            <w:tcBorders>
              <w:top w:val="nil"/>
              <w:left w:val="nil"/>
              <w:bottom w:val="nil"/>
              <w:right w:val="nil"/>
            </w:tcBorders>
            <w:shd w:val="clear" w:color="auto" w:fill="auto"/>
            <w:vAlign w:val="center"/>
          </w:tcPr>
          <w:p w14:paraId="2B558262" w14:textId="325D0B9C" w:rsidR="00654E38" w:rsidRPr="00654E38" w:rsidRDefault="00654E38" w:rsidP="00654E38">
            <w:pPr>
              <w:jc w:val="center"/>
              <w:rPr>
                <w:rFonts w:cs="Arial"/>
                <w:color w:val="000000" w:themeColor="text1"/>
                <w:sz w:val="18"/>
                <w:szCs w:val="18"/>
              </w:rPr>
            </w:pPr>
            <w:r w:rsidRPr="00654E38">
              <w:rPr>
                <w:rFonts w:cs="Arial"/>
                <w:sz w:val="18"/>
                <w:szCs w:val="18"/>
              </w:rPr>
              <w:t>0.062 ± 0.004</w:t>
            </w:r>
          </w:p>
        </w:tc>
        <w:tc>
          <w:tcPr>
            <w:tcW w:w="1628" w:type="dxa"/>
            <w:tcBorders>
              <w:top w:val="nil"/>
              <w:left w:val="nil"/>
              <w:bottom w:val="nil"/>
              <w:right w:val="nil"/>
            </w:tcBorders>
            <w:shd w:val="clear" w:color="auto" w:fill="EAF1DD" w:themeFill="accent3" w:themeFillTint="33"/>
            <w:vAlign w:val="center"/>
          </w:tcPr>
          <w:p w14:paraId="0A77A0E7" w14:textId="36931D6A" w:rsidR="00654E38" w:rsidRPr="00654E38" w:rsidRDefault="00654E38" w:rsidP="00654E38">
            <w:pPr>
              <w:jc w:val="center"/>
              <w:rPr>
                <w:rFonts w:cs="Arial"/>
                <w:color w:val="000000" w:themeColor="text1"/>
                <w:sz w:val="18"/>
                <w:szCs w:val="18"/>
              </w:rPr>
            </w:pPr>
            <w:r w:rsidRPr="00654E38">
              <w:rPr>
                <w:rFonts w:cs="Arial"/>
                <w:sz w:val="18"/>
                <w:szCs w:val="18"/>
              </w:rPr>
              <w:t>0.065 ± 0.004</w:t>
            </w:r>
          </w:p>
        </w:tc>
        <w:tc>
          <w:tcPr>
            <w:tcW w:w="1628" w:type="dxa"/>
            <w:tcBorders>
              <w:top w:val="nil"/>
              <w:left w:val="nil"/>
              <w:bottom w:val="nil"/>
              <w:right w:val="nil"/>
            </w:tcBorders>
            <w:shd w:val="clear" w:color="auto" w:fill="EAF1DD" w:themeFill="accent3" w:themeFillTint="33"/>
            <w:vAlign w:val="center"/>
          </w:tcPr>
          <w:p w14:paraId="2A647358" w14:textId="44DC38C2" w:rsidR="00654E38" w:rsidRPr="00654E38" w:rsidRDefault="00654E38" w:rsidP="00654E38">
            <w:pPr>
              <w:jc w:val="center"/>
              <w:rPr>
                <w:rFonts w:cs="Arial"/>
                <w:color w:val="000000" w:themeColor="text1"/>
                <w:sz w:val="18"/>
                <w:szCs w:val="18"/>
              </w:rPr>
            </w:pPr>
            <w:r w:rsidRPr="00654E38">
              <w:rPr>
                <w:rFonts w:cs="Arial"/>
                <w:sz w:val="18"/>
                <w:szCs w:val="18"/>
              </w:rPr>
              <w:t>0.065 ± 0.005</w:t>
            </w:r>
          </w:p>
        </w:tc>
        <w:tc>
          <w:tcPr>
            <w:tcW w:w="1629" w:type="dxa"/>
            <w:tcBorders>
              <w:top w:val="nil"/>
              <w:left w:val="nil"/>
              <w:bottom w:val="nil"/>
              <w:right w:val="nil"/>
            </w:tcBorders>
            <w:shd w:val="clear" w:color="auto" w:fill="FFFFFF" w:themeFill="background1"/>
            <w:vAlign w:val="center"/>
          </w:tcPr>
          <w:p w14:paraId="6AA9BE00" w14:textId="36924A23" w:rsidR="00654E38" w:rsidRPr="00654E38" w:rsidRDefault="00B60EE2" w:rsidP="00654E38">
            <w:pPr>
              <w:jc w:val="center"/>
              <w:rPr>
                <w:rFonts w:cs="Arial"/>
                <w:color w:val="000000" w:themeColor="text1"/>
                <w:sz w:val="18"/>
                <w:szCs w:val="18"/>
              </w:rPr>
            </w:pPr>
            <w:r>
              <w:rPr>
                <w:rFonts w:cs="Arial"/>
                <w:color w:val="000000" w:themeColor="text1"/>
                <w:sz w:val="18"/>
                <w:szCs w:val="18"/>
              </w:rPr>
              <w:t>Yes</w:t>
            </w:r>
          </w:p>
        </w:tc>
      </w:tr>
      <w:tr w:rsidR="00654E38" w14:paraId="101D1EF1" w14:textId="77777777" w:rsidTr="00654E38">
        <w:trPr>
          <w:trHeight w:val="340"/>
        </w:trPr>
        <w:tc>
          <w:tcPr>
            <w:tcW w:w="2439" w:type="dxa"/>
            <w:tcBorders>
              <w:top w:val="nil"/>
              <w:left w:val="nil"/>
              <w:bottom w:val="nil"/>
              <w:right w:val="nil"/>
            </w:tcBorders>
            <w:vAlign w:val="center"/>
          </w:tcPr>
          <w:p w14:paraId="344FD2BF" w14:textId="2BD80121" w:rsidR="00654E38" w:rsidRPr="00654E38" w:rsidRDefault="00654E38" w:rsidP="00B60EE2">
            <w:pPr>
              <w:ind w:right="177"/>
              <w:jc w:val="right"/>
              <w:rPr>
                <w:rFonts w:cs="Arial"/>
                <w:sz w:val="18"/>
                <w:szCs w:val="18"/>
              </w:rPr>
            </w:pPr>
            <w:r w:rsidRPr="00654E38">
              <w:rPr>
                <w:rFonts w:cs="Arial"/>
                <w:sz w:val="18"/>
                <w:szCs w:val="18"/>
              </w:rPr>
              <w:t>C18:1 Oleic Acid</w:t>
            </w:r>
          </w:p>
        </w:tc>
        <w:tc>
          <w:tcPr>
            <w:tcW w:w="1628" w:type="dxa"/>
            <w:tcBorders>
              <w:top w:val="nil"/>
              <w:left w:val="nil"/>
              <w:bottom w:val="nil"/>
              <w:right w:val="nil"/>
            </w:tcBorders>
            <w:shd w:val="clear" w:color="auto" w:fill="auto"/>
            <w:vAlign w:val="center"/>
          </w:tcPr>
          <w:p w14:paraId="7554B536" w14:textId="7C0FA672" w:rsidR="00654E38" w:rsidRPr="00654E38" w:rsidRDefault="00654E38" w:rsidP="00654E38">
            <w:pPr>
              <w:jc w:val="center"/>
              <w:rPr>
                <w:rFonts w:cs="Arial"/>
                <w:color w:val="000000" w:themeColor="text1"/>
                <w:sz w:val="18"/>
                <w:szCs w:val="18"/>
              </w:rPr>
            </w:pPr>
            <w:r w:rsidRPr="00654E38">
              <w:rPr>
                <w:rFonts w:cs="Arial"/>
                <w:sz w:val="18"/>
                <w:szCs w:val="18"/>
              </w:rPr>
              <w:t>21.8 ± 1.37</w:t>
            </w:r>
          </w:p>
        </w:tc>
        <w:tc>
          <w:tcPr>
            <w:tcW w:w="1628" w:type="dxa"/>
            <w:tcBorders>
              <w:top w:val="nil"/>
              <w:left w:val="nil"/>
              <w:bottom w:val="nil"/>
              <w:right w:val="nil"/>
            </w:tcBorders>
            <w:shd w:val="clear" w:color="auto" w:fill="EAF1DD" w:themeFill="accent3" w:themeFillTint="33"/>
            <w:vAlign w:val="center"/>
          </w:tcPr>
          <w:p w14:paraId="4DB8D1ED" w14:textId="7F714BEF" w:rsidR="00654E38" w:rsidRPr="00654E38" w:rsidRDefault="00654E38" w:rsidP="00654E38">
            <w:pPr>
              <w:jc w:val="center"/>
              <w:rPr>
                <w:rFonts w:cs="Arial"/>
                <w:color w:val="000000" w:themeColor="text1"/>
                <w:sz w:val="18"/>
                <w:szCs w:val="18"/>
              </w:rPr>
            </w:pPr>
            <w:r w:rsidRPr="00654E38">
              <w:rPr>
                <w:rFonts w:cs="Arial"/>
                <w:sz w:val="18"/>
                <w:szCs w:val="18"/>
              </w:rPr>
              <w:t>23.6 ± 2.39</w:t>
            </w:r>
          </w:p>
        </w:tc>
        <w:tc>
          <w:tcPr>
            <w:tcW w:w="1628" w:type="dxa"/>
            <w:tcBorders>
              <w:top w:val="nil"/>
              <w:left w:val="nil"/>
              <w:bottom w:val="nil"/>
              <w:right w:val="nil"/>
            </w:tcBorders>
            <w:shd w:val="clear" w:color="auto" w:fill="EAF1DD" w:themeFill="accent3" w:themeFillTint="33"/>
            <w:vAlign w:val="center"/>
          </w:tcPr>
          <w:p w14:paraId="465A4DEF" w14:textId="387B1F03" w:rsidR="00654E38" w:rsidRPr="00654E38" w:rsidRDefault="00654E38" w:rsidP="00654E38">
            <w:pPr>
              <w:jc w:val="center"/>
              <w:rPr>
                <w:rFonts w:cs="Arial"/>
                <w:color w:val="000000" w:themeColor="text1"/>
                <w:sz w:val="18"/>
                <w:szCs w:val="18"/>
              </w:rPr>
            </w:pPr>
            <w:r w:rsidRPr="00654E38">
              <w:rPr>
                <w:rFonts w:cs="Arial"/>
                <w:sz w:val="18"/>
                <w:szCs w:val="18"/>
              </w:rPr>
              <w:t>23.4 ± 2.05</w:t>
            </w:r>
          </w:p>
        </w:tc>
        <w:tc>
          <w:tcPr>
            <w:tcW w:w="1629" w:type="dxa"/>
            <w:tcBorders>
              <w:top w:val="nil"/>
              <w:left w:val="nil"/>
              <w:bottom w:val="nil"/>
              <w:right w:val="nil"/>
            </w:tcBorders>
            <w:shd w:val="clear" w:color="auto" w:fill="FFFFFF" w:themeFill="background1"/>
            <w:vAlign w:val="center"/>
          </w:tcPr>
          <w:p w14:paraId="116CA5B1" w14:textId="6D0FD4FE" w:rsidR="00654E38" w:rsidRPr="00654E38" w:rsidRDefault="00B60EE2" w:rsidP="00654E38">
            <w:pPr>
              <w:jc w:val="center"/>
              <w:rPr>
                <w:rFonts w:cs="Arial"/>
                <w:color w:val="000000" w:themeColor="text1"/>
                <w:sz w:val="18"/>
                <w:szCs w:val="18"/>
              </w:rPr>
            </w:pPr>
            <w:r>
              <w:rPr>
                <w:rFonts w:cs="Arial"/>
                <w:color w:val="000000" w:themeColor="text1"/>
                <w:sz w:val="18"/>
                <w:szCs w:val="18"/>
              </w:rPr>
              <w:t>Yes</w:t>
            </w:r>
          </w:p>
        </w:tc>
      </w:tr>
      <w:tr w:rsidR="00654E38" w14:paraId="0D9B0838" w14:textId="77777777" w:rsidTr="00654E38">
        <w:trPr>
          <w:trHeight w:val="340"/>
        </w:trPr>
        <w:tc>
          <w:tcPr>
            <w:tcW w:w="2439" w:type="dxa"/>
            <w:tcBorders>
              <w:top w:val="nil"/>
              <w:left w:val="nil"/>
              <w:bottom w:val="nil"/>
              <w:right w:val="nil"/>
            </w:tcBorders>
            <w:vAlign w:val="center"/>
          </w:tcPr>
          <w:p w14:paraId="5117A6F1" w14:textId="11F20093" w:rsidR="00654E38" w:rsidRPr="00654E38" w:rsidRDefault="00654E38" w:rsidP="00B60EE2">
            <w:pPr>
              <w:ind w:right="177"/>
              <w:jc w:val="right"/>
              <w:rPr>
                <w:rFonts w:cs="Arial"/>
                <w:sz w:val="18"/>
                <w:szCs w:val="18"/>
              </w:rPr>
            </w:pPr>
            <w:r w:rsidRPr="00654E38">
              <w:rPr>
                <w:rFonts w:cs="Arial"/>
                <w:sz w:val="18"/>
                <w:szCs w:val="18"/>
              </w:rPr>
              <w:t>C18:2 Linoleic Acid</w:t>
            </w:r>
          </w:p>
        </w:tc>
        <w:tc>
          <w:tcPr>
            <w:tcW w:w="1628" w:type="dxa"/>
            <w:tcBorders>
              <w:top w:val="nil"/>
              <w:left w:val="nil"/>
              <w:bottom w:val="nil"/>
              <w:right w:val="nil"/>
            </w:tcBorders>
            <w:shd w:val="clear" w:color="auto" w:fill="auto"/>
            <w:vAlign w:val="center"/>
          </w:tcPr>
          <w:p w14:paraId="136C3C07" w14:textId="7992C02C" w:rsidR="00654E38" w:rsidRPr="00654E38" w:rsidRDefault="00654E38" w:rsidP="00654E38">
            <w:pPr>
              <w:jc w:val="center"/>
              <w:rPr>
                <w:rFonts w:cs="Arial"/>
                <w:color w:val="000000" w:themeColor="text1"/>
                <w:sz w:val="18"/>
                <w:szCs w:val="18"/>
              </w:rPr>
            </w:pPr>
            <w:r w:rsidRPr="00654E38">
              <w:rPr>
                <w:rFonts w:cs="Arial"/>
                <w:sz w:val="18"/>
                <w:szCs w:val="18"/>
              </w:rPr>
              <w:t>53.7 ± 1.18</w:t>
            </w:r>
          </w:p>
        </w:tc>
        <w:tc>
          <w:tcPr>
            <w:tcW w:w="1628" w:type="dxa"/>
            <w:tcBorders>
              <w:top w:val="nil"/>
              <w:left w:val="nil"/>
              <w:bottom w:val="nil"/>
              <w:right w:val="nil"/>
            </w:tcBorders>
            <w:shd w:val="clear" w:color="auto" w:fill="F2DBDB" w:themeFill="accent2" w:themeFillTint="33"/>
            <w:vAlign w:val="center"/>
          </w:tcPr>
          <w:p w14:paraId="3A478F2B" w14:textId="0DE35B1D" w:rsidR="00654E38" w:rsidRPr="00654E38" w:rsidRDefault="00654E38" w:rsidP="00654E38">
            <w:pPr>
              <w:jc w:val="center"/>
              <w:rPr>
                <w:rFonts w:cs="Arial"/>
                <w:color w:val="000000" w:themeColor="text1"/>
                <w:sz w:val="18"/>
                <w:szCs w:val="18"/>
              </w:rPr>
            </w:pPr>
            <w:r w:rsidRPr="00654E38">
              <w:rPr>
                <w:rFonts w:cs="Arial"/>
                <w:sz w:val="18"/>
                <w:szCs w:val="18"/>
              </w:rPr>
              <w:t>52.6 ± 1.80</w:t>
            </w:r>
          </w:p>
        </w:tc>
        <w:tc>
          <w:tcPr>
            <w:tcW w:w="1628" w:type="dxa"/>
            <w:tcBorders>
              <w:top w:val="nil"/>
              <w:left w:val="nil"/>
              <w:bottom w:val="nil"/>
              <w:right w:val="nil"/>
            </w:tcBorders>
            <w:shd w:val="clear" w:color="auto" w:fill="F2DBDB" w:themeFill="accent2" w:themeFillTint="33"/>
            <w:vAlign w:val="center"/>
          </w:tcPr>
          <w:p w14:paraId="664C280E" w14:textId="662B1637" w:rsidR="00654E38" w:rsidRPr="00654E38" w:rsidRDefault="00654E38" w:rsidP="00654E38">
            <w:pPr>
              <w:jc w:val="center"/>
              <w:rPr>
                <w:rFonts w:cs="Arial"/>
                <w:color w:val="000000" w:themeColor="text1"/>
                <w:sz w:val="18"/>
                <w:szCs w:val="18"/>
              </w:rPr>
            </w:pPr>
            <w:r w:rsidRPr="00654E38">
              <w:rPr>
                <w:rFonts w:cs="Arial"/>
                <w:sz w:val="18"/>
                <w:szCs w:val="18"/>
              </w:rPr>
              <w:t>52.6 ± 1.51</w:t>
            </w:r>
          </w:p>
        </w:tc>
        <w:tc>
          <w:tcPr>
            <w:tcW w:w="1629" w:type="dxa"/>
            <w:tcBorders>
              <w:top w:val="nil"/>
              <w:left w:val="nil"/>
              <w:bottom w:val="nil"/>
              <w:right w:val="nil"/>
            </w:tcBorders>
            <w:shd w:val="clear" w:color="auto" w:fill="FFFFFF" w:themeFill="background1"/>
            <w:vAlign w:val="center"/>
          </w:tcPr>
          <w:p w14:paraId="12A98D36" w14:textId="377FC95C" w:rsidR="00654E38" w:rsidRPr="00654E38" w:rsidRDefault="00B60EE2" w:rsidP="00654E38">
            <w:pPr>
              <w:jc w:val="center"/>
              <w:rPr>
                <w:rFonts w:cs="Arial"/>
                <w:color w:val="000000" w:themeColor="text1"/>
                <w:sz w:val="18"/>
                <w:szCs w:val="18"/>
              </w:rPr>
            </w:pPr>
            <w:r>
              <w:rPr>
                <w:rFonts w:cs="Arial"/>
                <w:color w:val="000000" w:themeColor="text1"/>
                <w:sz w:val="18"/>
                <w:szCs w:val="18"/>
              </w:rPr>
              <w:t>Yes</w:t>
            </w:r>
          </w:p>
        </w:tc>
      </w:tr>
      <w:tr w:rsidR="00654E38" w14:paraId="09B14901" w14:textId="77777777" w:rsidTr="00654E38">
        <w:trPr>
          <w:trHeight w:val="340"/>
        </w:trPr>
        <w:tc>
          <w:tcPr>
            <w:tcW w:w="2439" w:type="dxa"/>
            <w:tcBorders>
              <w:top w:val="nil"/>
              <w:left w:val="nil"/>
              <w:bottom w:val="nil"/>
              <w:right w:val="nil"/>
            </w:tcBorders>
            <w:vAlign w:val="center"/>
          </w:tcPr>
          <w:p w14:paraId="14E8820E" w14:textId="4A23C4D0" w:rsidR="00654E38" w:rsidRPr="00654E38" w:rsidRDefault="00654E38" w:rsidP="00B60EE2">
            <w:pPr>
              <w:ind w:right="177"/>
              <w:jc w:val="right"/>
              <w:rPr>
                <w:rFonts w:cs="Arial"/>
                <w:sz w:val="18"/>
                <w:szCs w:val="18"/>
              </w:rPr>
            </w:pPr>
            <w:r w:rsidRPr="00654E38">
              <w:rPr>
                <w:rFonts w:cs="Arial"/>
                <w:sz w:val="18"/>
                <w:szCs w:val="18"/>
              </w:rPr>
              <w:t>C20:1 Eicosenoic Acid</w:t>
            </w:r>
          </w:p>
        </w:tc>
        <w:tc>
          <w:tcPr>
            <w:tcW w:w="1628" w:type="dxa"/>
            <w:tcBorders>
              <w:top w:val="nil"/>
              <w:left w:val="nil"/>
              <w:bottom w:val="nil"/>
              <w:right w:val="nil"/>
            </w:tcBorders>
            <w:shd w:val="clear" w:color="auto" w:fill="auto"/>
            <w:vAlign w:val="center"/>
          </w:tcPr>
          <w:p w14:paraId="36D206B6" w14:textId="44816C3B" w:rsidR="00654E38" w:rsidRPr="00654E38" w:rsidRDefault="00654E38" w:rsidP="00654E38">
            <w:pPr>
              <w:jc w:val="center"/>
              <w:rPr>
                <w:rFonts w:cs="Arial"/>
                <w:color w:val="000000" w:themeColor="text1"/>
                <w:sz w:val="18"/>
                <w:szCs w:val="18"/>
              </w:rPr>
            </w:pPr>
            <w:r w:rsidRPr="00654E38">
              <w:rPr>
                <w:rFonts w:cs="Arial"/>
                <w:sz w:val="18"/>
                <w:szCs w:val="18"/>
              </w:rPr>
              <w:t>0.182 ± 0.019</w:t>
            </w:r>
          </w:p>
        </w:tc>
        <w:tc>
          <w:tcPr>
            <w:tcW w:w="1628" w:type="dxa"/>
            <w:tcBorders>
              <w:top w:val="nil"/>
              <w:left w:val="nil"/>
              <w:bottom w:val="nil"/>
              <w:right w:val="nil"/>
            </w:tcBorders>
            <w:shd w:val="clear" w:color="auto" w:fill="EAF1DD" w:themeFill="accent3" w:themeFillTint="33"/>
            <w:vAlign w:val="center"/>
          </w:tcPr>
          <w:p w14:paraId="325853BA" w14:textId="3421FEBB" w:rsidR="00654E38" w:rsidRPr="00654E38" w:rsidRDefault="00654E38" w:rsidP="00654E38">
            <w:pPr>
              <w:jc w:val="center"/>
              <w:rPr>
                <w:rFonts w:cs="Arial"/>
                <w:color w:val="000000" w:themeColor="text1"/>
                <w:sz w:val="18"/>
                <w:szCs w:val="18"/>
              </w:rPr>
            </w:pPr>
            <w:r w:rsidRPr="00654E38">
              <w:rPr>
                <w:rFonts w:cs="Arial"/>
                <w:sz w:val="18"/>
                <w:szCs w:val="18"/>
              </w:rPr>
              <w:t>0.189 ± 0.022</w:t>
            </w:r>
          </w:p>
        </w:tc>
        <w:tc>
          <w:tcPr>
            <w:tcW w:w="1628" w:type="dxa"/>
            <w:tcBorders>
              <w:top w:val="nil"/>
              <w:left w:val="nil"/>
              <w:bottom w:val="nil"/>
              <w:right w:val="nil"/>
            </w:tcBorders>
            <w:shd w:val="clear" w:color="auto" w:fill="EAF1DD" w:themeFill="accent3" w:themeFillTint="33"/>
            <w:vAlign w:val="center"/>
          </w:tcPr>
          <w:p w14:paraId="0190D7B9" w14:textId="173629F9" w:rsidR="00654E38" w:rsidRPr="00654E38" w:rsidRDefault="00654E38" w:rsidP="00654E38">
            <w:pPr>
              <w:jc w:val="center"/>
              <w:rPr>
                <w:rFonts w:cs="Arial"/>
                <w:color w:val="000000" w:themeColor="text1"/>
                <w:sz w:val="18"/>
                <w:szCs w:val="18"/>
              </w:rPr>
            </w:pPr>
            <w:r w:rsidRPr="00654E38">
              <w:rPr>
                <w:rFonts w:cs="Arial"/>
                <w:sz w:val="18"/>
                <w:szCs w:val="18"/>
              </w:rPr>
              <w:t>0.191 ± 0.019</w:t>
            </w:r>
          </w:p>
        </w:tc>
        <w:tc>
          <w:tcPr>
            <w:tcW w:w="1629" w:type="dxa"/>
            <w:tcBorders>
              <w:top w:val="nil"/>
              <w:left w:val="nil"/>
              <w:bottom w:val="nil"/>
              <w:right w:val="nil"/>
            </w:tcBorders>
            <w:shd w:val="clear" w:color="auto" w:fill="FFFFFF" w:themeFill="background1"/>
            <w:vAlign w:val="center"/>
          </w:tcPr>
          <w:p w14:paraId="2CB07CD2" w14:textId="615B3A1A" w:rsidR="00654E38" w:rsidRPr="00654E38" w:rsidRDefault="00B60EE2" w:rsidP="00654E38">
            <w:pPr>
              <w:jc w:val="center"/>
              <w:rPr>
                <w:rFonts w:cs="Arial"/>
                <w:color w:val="000000" w:themeColor="text1"/>
                <w:sz w:val="18"/>
                <w:szCs w:val="18"/>
              </w:rPr>
            </w:pPr>
            <w:r>
              <w:rPr>
                <w:rFonts w:cs="Arial"/>
                <w:color w:val="000000" w:themeColor="text1"/>
                <w:sz w:val="18"/>
                <w:szCs w:val="18"/>
              </w:rPr>
              <w:t>Yes</w:t>
            </w:r>
          </w:p>
        </w:tc>
      </w:tr>
      <w:tr w:rsidR="00654E38" w14:paraId="35606357" w14:textId="77777777" w:rsidTr="00654E38">
        <w:trPr>
          <w:trHeight w:val="340"/>
        </w:trPr>
        <w:tc>
          <w:tcPr>
            <w:tcW w:w="2439" w:type="dxa"/>
            <w:tcBorders>
              <w:top w:val="nil"/>
              <w:left w:val="nil"/>
              <w:bottom w:val="nil"/>
              <w:right w:val="nil"/>
            </w:tcBorders>
            <w:vAlign w:val="center"/>
          </w:tcPr>
          <w:p w14:paraId="2003BBAA" w14:textId="5DA9DFE4" w:rsidR="00654E38" w:rsidRPr="00654E38" w:rsidRDefault="00654E38" w:rsidP="00B60EE2">
            <w:pPr>
              <w:ind w:right="177"/>
              <w:jc w:val="right"/>
              <w:rPr>
                <w:rFonts w:cs="Arial"/>
                <w:sz w:val="18"/>
                <w:szCs w:val="18"/>
              </w:rPr>
            </w:pPr>
            <w:r w:rsidRPr="00654E38">
              <w:rPr>
                <w:rFonts w:cs="Arial"/>
                <w:sz w:val="18"/>
                <w:szCs w:val="18"/>
              </w:rPr>
              <w:t>C22:0 Behenic Acid</w:t>
            </w:r>
          </w:p>
        </w:tc>
        <w:tc>
          <w:tcPr>
            <w:tcW w:w="1628" w:type="dxa"/>
            <w:tcBorders>
              <w:top w:val="nil"/>
              <w:left w:val="nil"/>
              <w:bottom w:val="nil"/>
              <w:right w:val="nil"/>
            </w:tcBorders>
            <w:shd w:val="clear" w:color="auto" w:fill="auto"/>
            <w:vAlign w:val="center"/>
          </w:tcPr>
          <w:p w14:paraId="4A431CC2" w14:textId="3AA233D3" w:rsidR="00654E38" w:rsidRPr="00654E38" w:rsidRDefault="00654E38" w:rsidP="00654E38">
            <w:pPr>
              <w:jc w:val="center"/>
              <w:rPr>
                <w:rFonts w:cs="Arial"/>
                <w:color w:val="000000" w:themeColor="text1"/>
                <w:sz w:val="18"/>
                <w:szCs w:val="18"/>
              </w:rPr>
            </w:pPr>
            <w:r w:rsidRPr="00654E38">
              <w:rPr>
                <w:rFonts w:cs="Arial"/>
                <w:color w:val="000000" w:themeColor="text1"/>
                <w:sz w:val="18"/>
                <w:szCs w:val="18"/>
              </w:rPr>
              <w:t>0.331 ± 0.010</w:t>
            </w:r>
          </w:p>
        </w:tc>
        <w:tc>
          <w:tcPr>
            <w:tcW w:w="1628" w:type="dxa"/>
            <w:tcBorders>
              <w:top w:val="nil"/>
              <w:left w:val="nil"/>
              <w:bottom w:val="nil"/>
              <w:right w:val="nil"/>
            </w:tcBorders>
            <w:shd w:val="clear" w:color="auto" w:fill="EAF1DD" w:themeFill="accent3" w:themeFillTint="33"/>
            <w:vAlign w:val="center"/>
          </w:tcPr>
          <w:p w14:paraId="0BB31A91" w14:textId="7BAAEC02" w:rsidR="00654E38" w:rsidRPr="00654E38" w:rsidRDefault="00654E38" w:rsidP="00654E38">
            <w:pPr>
              <w:jc w:val="center"/>
              <w:rPr>
                <w:rFonts w:cs="Arial"/>
                <w:color w:val="000000" w:themeColor="text1"/>
                <w:sz w:val="18"/>
                <w:szCs w:val="18"/>
              </w:rPr>
            </w:pPr>
            <w:r w:rsidRPr="00654E38">
              <w:rPr>
                <w:rFonts w:cs="Arial"/>
                <w:sz w:val="18"/>
                <w:szCs w:val="18"/>
              </w:rPr>
              <w:t>0.378 ± 0.013</w:t>
            </w:r>
          </w:p>
        </w:tc>
        <w:tc>
          <w:tcPr>
            <w:tcW w:w="1628" w:type="dxa"/>
            <w:tcBorders>
              <w:top w:val="nil"/>
              <w:left w:val="nil"/>
              <w:bottom w:val="nil"/>
              <w:right w:val="nil"/>
            </w:tcBorders>
            <w:shd w:val="clear" w:color="auto" w:fill="EAF1DD" w:themeFill="accent3" w:themeFillTint="33"/>
            <w:vAlign w:val="center"/>
          </w:tcPr>
          <w:p w14:paraId="710EE937" w14:textId="672CF811" w:rsidR="00654E38" w:rsidRPr="00654E38" w:rsidRDefault="00654E38" w:rsidP="00654E38">
            <w:pPr>
              <w:jc w:val="center"/>
              <w:rPr>
                <w:rFonts w:cs="Arial"/>
                <w:color w:val="000000" w:themeColor="text1"/>
                <w:sz w:val="18"/>
                <w:szCs w:val="18"/>
              </w:rPr>
            </w:pPr>
            <w:r w:rsidRPr="00654E38">
              <w:rPr>
                <w:rFonts w:cs="Arial"/>
                <w:sz w:val="18"/>
                <w:szCs w:val="18"/>
              </w:rPr>
              <w:t>0.382 ± 0.012</w:t>
            </w:r>
          </w:p>
        </w:tc>
        <w:tc>
          <w:tcPr>
            <w:tcW w:w="1629" w:type="dxa"/>
            <w:tcBorders>
              <w:top w:val="nil"/>
              <w:left w:val="nil"/>
              <w:bottom w:val="nil"/>
              <w:right w:val="nil"/>
            </w:tcBorders>
            <w:shd w:val="clear" w:color="auto" w:fill="FFFFFF" w:themeFill="background1"/>
            <w:vAlign w:val="center"/>
          </w:tcPr>
          <w:p w14:paraId="6415DA31" w14:textId="2918FC47" w:rsidR="00654E38" w:rsidRPr="00654E38" w:rsidRDefault="00B60EE2" w:rsidP="00654E38">
            <w:pPr>
              <w:jc w:val="center"/>
              <w:rPr>
                <w:rFonts w:cs="Arial"/>
                <w:color w:val="000000" w:themeColor="text1"/>
                <w:sz w:val="18"/>
                <w:szCs w:val="18"/>
              </w:rPr>
            </w:pPr>
            <w:r>
              <w:rPr>
                <w:rFonts w:cs="Arial"/>
                <w:color w:val="000000" w:themeColor="text1"/>
                <w:sz w:val="18"/>
                <w:szCs w:val="18"/>
              </w:rPr>
              <w:t>Yes</w:t>
            </w:r>
          </w:p>
        </w:tc>
      </w:tr>
      <w:tr w:rsidR="00654E38" w14:paraId="3EE3B30A" w14:textId="77777777" w:rsidTr="00654E38">
        <w:trPr>
          <w:trHeight w:val="340"/>
        </w:trPr>
        <w:tc>
          <w:tcPr>
            <w:tcW w:w="2439" w:type="dxa"/>
            <w:tcBorders>
              <w:top w:val="nil"/>
              <w:left w:val="nil"/>
              <w:bottom w:val="nil"/>
              <w:right w:val="nil"/>
            </w:tcBorders>
            <w:vAlign w:val="center"/>
          </w:tcPr>
          <w:p w14:paraId="12AED880" w14:textId="42EE50D8" w:rsidR="00654E38" w:rsidRPr="00654E38" w:rsidRDefault="00654E38" w:rsidP="00B60EE2">
            <w:pPr>
              <w:ind w:right="177"/>
              <w:jc w:val="right"/>
              <w:rPr>
                <w:rFonts w:cs="Arial"/>
                <w:sz w:val="18"/>
                <w:szCs w:val="18"/>
              </w:rPr>
            </w:pPr>
            <w:r w:rsidRPr="00654E38">
              <w:rPr>
                <w:rFonts w:cs="Arial"/>
                <w:sz w:val="18"/>
                <w:szCs w:val="18"/>
              </w:rPr>
              <w:t>C24:0 Lignoceric Acid</w:t>
            </w:r>
          </w:p>
        </w:tc>
        <w:tc>
          <w:tcPr>
            <w:tcW w:w="1628" w:type="dxa"/>
            <w:tcBorders>
              <w:top w:val="nil"/>
              <w:left w:val="nil"/>
              <w:bottom w:val="nil"/>
              <w:right w:val="nil"/>
            </w:tcBorders>
            <w:shd w:val="clear" w:color="auto" w:fill="auto"/>
            <w:vAlign w:val="center"/>
          </w:tcPr>
          <w:p w14:paraId="58B456FA" w14:textId="03ACAE69" w:rsidR="00654E38" w:rsidRPr="00654E38" w:rsidRDefault="00654E38" w:rsidP="00654E38">
            <w:pPr>
              <w:jc w:val="center"/>
              <w:rPr>
                <w:rFonts w:cs="Arial"/>
                <w:color w:val="000000" w:themeColor="text1"/>
                <w:sz w:val="18"/>
                <w:szCs w:val="18"/>
              </w:rPr>
            </w:pPr>
            <w:r w:rsidRPr="00654E38">
              <w:rPr>
                <w:rFonts w:cs="Arial"/>
                <w:color w:val="000000"/>
                <w:sz w:val="18"/>
                <w:szCs w:val="18"/>
              </w:rPr>
              <w:t>0.111 ± 0.021</w:t>
            </w:r>
          </w:p>
        </w:tc>
        <w:tc>
          <w:tcPr>
            <w:tcW w:w="1628" w:type="dxa"/>
            <w:tcBorders>
              <w:top w:val="nil"/>
              <w:left w:val="nil"/>
              <w:bottom w:val="nil"/>
              <w:right w:val="nil"/>
            </w:tcBorders>
            <w:shd w:val="clear" w:color="auto" w:fill="auto"/>
            <w:vAlign w:val="center"/>
          </w:tcPr>
          <w:p w14:paraId="1979A2AB" w14:textId="12ABB176" w:rsidR="00654E38" w:rsidRPr="00654E38" w:rsidRDefault="00654E38" w:rsidP="00654E38">
            <w:pPr>
              <w:jc w:val="center"/>
              <w:rPr>
                <w:rFonts w:cs="Arial"/>
                <w:color w:val="000000" w:themeColor="text1"/>
                <w:sz w:val="18"/>
                <w:szCs w:val="18"/>
              </w:rPr>
            </w:pPr>
            <w:r w:rsidRPr="00654E38">
              <w:rPr>
                <w:rFonts w:cs="Arial"/>
                <w:sz w:val="18"/>
                <w:szCs w:val="18"/>
              </w:rPr>
              <w:t>0.101 ± 0.024</w:t>
            </w:r>
          </w:p>
        </w:tc>
        <w:tc>
          <w:tcPr>
            <w:tcW w:w="1628" w:type="dxa"/>
            <w:tcBorders>
              <w:top w:val="nil"/>
              <w:left w:val="nil"/>
              <w:bottom w:val="nil"/>
              <w:right w:val="nil"/>
            </w:tcBorders>
            <w:shd w:val="clear" w:color="auto" w:fill="F2DBDB" w:themeFill="accent2" w:themeFillTint="33"/>
            <w:vAlign w:val="center"/>
          </w:tcPr>
          <w:p w14:paraId="6A623889" w14:textId="5FC3C200" w:rsidR="00654E38" w:rsidRPr="00654E38" w:rsidRDefault="00654E38" w:rsidP="00654E38">
            <w:pPr>
              <w:jc w:val="center"/>
              <w:rPr>
                <w:rFonts w:cs="Arial"/>
                <w:color w:val="000000" w:themeColor="text1"/>
                <w:sz w:val="18"/>
                <w:szCs w:val="18"/>
              </w:rPr>
            </w:pPr>
            <w:r w:rsidRPr="00654E38">
              <w:rPr>
                <w:rFonts w:cs="Arial"/>
                <w:sz w:val="18"/>
                <w:szCs w:val="18"/>
              </w:rPr>
              <w:t>0.098 ± 0.032</w:t>
            </w:r>
          </w:p>
        </w:tc>
        <w:tc>
          <w:tcPr>
            <w:tcW w:w="1629" w:type="dxa"/>
            <w:tcBorders>
              <w:top w:val="nil"/>
              <w:left w:val="nil"/>
              <w:bottom w:val="nil"/>
              <w:right w:val="nil"/>
            </w:tcBorders>
            <w:shd w:val="clear" w:color="auto" w:fill="FFFFFF" w:themeFill="background1"/>
            <w:vAlign w:val="center"/>
          </w:tcPr>
          <w:p w14:paraId="551FC55F" w14:textId="08F584B1" w:rsidR="00654E38" w:rsidRPr="00654E38" w:rsidRDefault="00B60EE2" w:rsidP="00654E38">
            <w:pPr>
              <w:jc w:val="center"/>
              <w:rPr>
                <w:rFonts w:cs="Arial"/>
                <w:color w:val="000000" w:themeColor="text1"/>
                <w:sz w:val="18"/>
                <w:szCs w:val="18"/>
              </w:rPr>
            </w:pPr>
            <w:r>
              <w:rPr>
                <w:rFonts w:cs="Arial"/>
                <w:color w:val="000000" w:themeColor="text1"/>
                <w:sz w:val="18"/>
                <w:szCs w:val="18"/>
              </w:rPr>
              <w:t>Yes</w:t>
            </w:r>
          </w:p>
        </w:tc>
      </w:tr>
      <w:tr w:rsidR="00654E38" w14:paraId="3E0D3ACA" w14:textId="77777777" w:rsidTr="00654E38">
        <w:trPr>
          <w:trHeight w:val="340"/>
        </w:trPr>
        <w:tc>
          <w:tcPr>
            <w:tcW w:w="2439" w:type="dxa"/>
            <w:tcBorders>
              <w:top w:val="nil"/>
              <w:left w:val="nil"/>
              <w:bottom w:val="nil"/>
              <w:right w:val="nil"/>
            </w:tcBorders>
            <w:vAlign w:val="center"/>
          </w:tcPr>
          <w:p w14:paraId="3480F23E" w14:textId="73D74EBB" w:rsidR="00654E38" w:rsidRPr="00654E38" w:rsidRDefault="00654E38" w:rsidP="00B60EE2">
            <w:pPr>
              <w:ind w:right="177"/>
              <w:jc w:val="right"/>
              <w:rPr>
                <w:rFonts w:cs="Arial"/>
                <w:sz w:val="18"/>
                <w:szCs w:val="18"/>
              </w:rPr>
            </w:pPr>
            <w:r w:rsidRPr="00654E38">
              <w:rPr>
                <w:rFonts w:cs="Arial"/>
                <w:color w:val="000000" w:themeColor="text1"/>
                <w:sz w:val="18"/>
                <w:szCs w:val="18"/>
              </w:rPr>
              <w:t>Phytic acid</w:t>
            </w:r>
          </w:p>
        </w:tc>
        <w:tc>
          <w:tcPr>
            <w:tcW w:w="1628" w:type="dxa"/>
            <w:tcBorders>
              <w:top w:val="nil"/>
              <w:left w:val="nil"/>
              <w:bottom w:val="nil"/>
              <w:right w:val="nil"/>
            </w:tcBorders>
            <w:shd w:val="clear" w:color="auto" w:fill="auto"/>
            <w:vAlign w:val="center"/>
          </w:tcPr>
          <w:p w14:paraId="51DA0F69" w14:textId="30833DDA" w:rsidR="00654E38" w:rsidRPr="00654E38" w:rsidRDefault="00654E38" w:rsidP="00654E38">
            <w:pPr>
              <w:jc w:val="center"/>
              <w:rPr>
                <w:rFonts w:cs="Arial"/>
                <w:color w:val="000000" w:themeColor="text1"/>
                <w:sz w:val="18"/>
                <w:szCs w:val="18"/>
              </w:rPr>
            </w:pPr>
            <w:r w:rsidRPr="00654E38">
              <w:rPr>
                <w:rFonts w:cs="Arial"/>
                <w:sz w:val="18"/>
                <w:szCs w:val="18"/>
              </w:rPr>
              <w:t xml:space="preserve">1.45 ± 0.25 </w:t>
            </w:r>
          </w:p>
        </w:tc>
        <w:tc>
          <w:tcPr>
            <w:tcW w:w="1628" w:type="dxa"/>
            <w:tcBorders>
              <w:top w:val="nil"/>
              <w:left w:val="nil"/>
              <w:bottom w:val="nil"/>
              <w:right w:val="nil"/>
            </w:tcBorders>
            <w:shd w:val="clear" w:color="auto" w:fill="auto"/>
            <w:vAlign w:val="center"/>
          </w:tcPr>
          <w:p w14:paraId="358E15A6" w14:textId="35E8ABDD" w:rsidR="00654E38" w:rsidRPr="00654E38" w:rsidRDefault="00654E38" w:rsidP="00654E38">
            <w:pPr>
              <w:jc w:val="center"/>
              <w:rPr>
                <w:rFonts w:cs="Arial"/>
                <w:color w:val="000000" w:themeColor="text1"/>
                <w:sz w:val="18"/>
                <w:szCs w:val="18"/>
              </w:rPr>
            </w:pPr>
            <w:r w:rsidRPr="00654E38">
              <w:rPr>
                <w:rFonts w:cs="Arial"/>
                <w:sz w:val="18"/>
                <w:szCs w:val="18"/>
              </w:rPr>
              <w:t xml:space="preserve">1.53 ± 0.23 </w:t>
            </w:r>
          </w:p>
        </w:tc>
        <w:tc>
          <w:tcPr>
            <w:tcW w:w="1628" w:type="dxa"/>
            <w:tcBorders>
              <w:top w:val="nil"/>
              <w:left w:val="nil"/>
              <w:bottom w:val="nil"/>
              <w:right w:val="nil"/>
            </w:tcBorders>
            <w:shd w:val="clear" w:color="auto" w:fill="EAF1DD" w:themeFill="accent3" w:themeFillTint="33"/>
            <w:vAlign w:val="center"/>
          </w:tcPr>
          <w:p w14:paraId="26E1475D" w14:textId="0FE09331" w:rsidR="00654E38" w:rsidRPr="00654E38" w:rsidRDefault="00654E38" w:rsidP="00654E38">
            <w:pPr>
              <w:jc w:val="center"/>
              <w:rPr>
                <w:rFonts w:cs="Arial"/>
                <w:color w:val="000000" w:themeColor="text1"/>
                <w:sz w:val="18"/>
                <w:szCs w:val="18"/>
              </w:rPr>
            </w:pPr>
            <w:r w:rsidRPr="00654E38">
              <w:rPr>
                <w:rFonts w:cs="Arial"/>
                <w:color w:val="000000" w:themeColor="text1"/>
                <w:sz w:val="18"/>
                <w:szCs w:val="18"/>
              </w:rPr>
              <w:t xml:space="preserve">1.60 </w:t>
            </w:r>
            <w:r w:rsidRPr="00654E38">
              <w:rPr>
                <w:rFonts w:cs="Arial"/>
                <w:sz w:val="18"/>
                <w:szCs w:val="18"/>
              </w:rPr>
              <w:t>± 0.25</w:t>
            </w:r>
          </w:p>
        </w:tc>
        <w:tc>
          <w:tcPr>
            <w:tcW w:w="1629" w:type="dxa"/>
            <w:tcBorders>
              <w:top w:val="nil"/>
              <w:left w:val="nil"/>
              <w:bottom w:val="nil"/>
              <w:right w:val="nil"/>
            </w:tcBorders>
            <w:shd w:val="clear" w:color="auto" w:fill="FFFFFF" w:themeFill="background1"/>
            <w:vAlign w:val="center"/>
          </w:tcPr>
          <w:p w14:paraId="2B7B8E42" w14:textId="0BCB39B7" w:rsidR="00654E38" w:rsidRPr="00654E38" w:rsidRDefault="00B60EE2" w:rsidP="00654E38">
            <w:pPr>
              <w:jc w:val="center"/>
              <w:rPr>
                <w:rFonts w:cs="Arial"/>
                <w:color w:val="000000" w:themeColor="text1"/>
                <w:sz w:val="18"/>
                <w:szCs w:val="18"/>
              </w:rPr>
            </w:pPr>
            <w:r>
              <w:rPr>
                <w:rFonts w:cs="Arial"/>
                <w:color w:val="000000" w:themeColor="text1"/>
                <w:sz w:val="18"/>
                <w:szCs w:val="18"/>
              </w:rPr>
              <w:t>Yes</w:t>
            </w:r>
          </w:p>
        </w:tc>
      </w:tr>
      <w:tr w:rsidR="00654E38" w14:paraId="3E25C1DE" w14:textId="77777777" w:rsidTr="00654E38">
        <w:trPr>
          <w:trHeight w:val="340"/>
        </w:trPr>
        <w:tc>
          <w:tcPr>
            <w:tcW w:w="2439" w:type="dxa"/>
            <w:tcBorders>
              <w:top w:val="nil"/>
              <w:left w:val="nil"/>
              <w:bottom w:val="nil"/>
              <w:right w:val="nil"/>
            </w:tcBorders>
            <w:vAlign w:val="center"/>
          </w:tcPr>
          <w:p w14:paraId="03C55E58" w14:textId="370F170E" w:rsidR="00654E38" w:rsidRPr="00654E38" w:rsidRDefault="00654E38" w:rsidP="00B60EE2">
            <w:pPr>
              <w:ind w:right="177"/>
              <w:jc w:val="right"/>
              <w:rPr>
                <w:rFonts w:cs="Arial"/>
                <w:color w:val="000000" w:themeColor="text1"/>
                <w:sz w:val="18"/>
                <w:szCs w:val="18"/>
              </w:rPr>
            </w:pPr>
            <w:r w:rsidRPr="00654E38">
              <w:rPr>
                <w:rFonts w:cs="Arial"/>
                <w:color w:val="000000" w:themeColor="text1"/>
                <w:sz w:val="18"/>
                <w:szCs w:val="18"/>
              </w:rPr>
              <w:t>Total isoflavones</w:t>
            </w:r>
          </w:p>
        </w:tc>
        <w:tc>
          <w:tcPr>
            <w:tcW w:w="1628" w:type="dxa"/>
            <w:tcBorders>
              <w:top w:val="nil"/>
              <w:left w:val="nil"/>
              <w:bottom w:val="nil"/>
              <w:right w:val="nil"/>
            </w:tcBorders>
            <w:shd w:val="clear" w:color="auto" w:fill="auto"/>
            <w:vAlign w:val="center"/>
          </w:tcPr>
          <w:p w14:paraId="45C101F4" w14:textId="23139673" w:rsidR="00654E38" w:rsidRPr="00654E38" w:rsidRDefault="00654E38" w:rsidP="00654E38">
            <w:pPr>
              <w:jc w:val="center"/>
              <w:rPr>
                <w:rFonts w:cs="Arial"/>
                <w:sz w:val="18"/>
                <w:szCs w:val="18"/>
              </w:rPr>
            </w:pPr>
            <w:r w:rsidRPr="00654E38">
              <w:rPr>
                <w:rFonts w:cs="Arial"/>
                <w:sz w:val="18"/>
                <w:szCs w:val="18"/>
              </w:rPr>
              <w:t>1818 ± 436</w:t>
            </w:r>
          </w:p>
        </w:tc>
        <w:tc>
          <w:tcPr>
            <w:tcW w:w="1628" w:type="dxa"/>
            <w:tcBorders>
              <w:top w:val="nil"/>
              <w:left w:val="nil"/>
              <w:bottom w:val="nil"/>
              <w:right w:val="nil"/>
            </w:tcBorders>
            <w:shd w:val="clear" w:color="auto" w:fill="F2DBDB" w:themeFill="accent2" w:themeFillTint="33"/>
            <w:vAlign w:val="center"/>
          </w:tcPr>
          <w:p w14:paraId="1874B905" w14:textId="417F7160" w:rsidR="00654E38" w:rsidRPr="00654E38" w:rsidRDefault="00654E38" w:rsidP="00654E38">
            <w:pPr>
              <w:jc w:val="center"/>
              <w:rPr>
                <w:rFonts w:cs="Arial"/>
                <w:sz w:val="18"/>
                <w:szCs w:val="18"/>
              </w:rPr>
            </w:pPr>
            <w:r w:rsidRPr="00654E38">
              <w:rPr>
                <w:rFonts w:cs="Arial"/>
                <w:sz w:val="18"/>
                <w:szCs w:val="18"/>
              </w:rPr>
              <w:t>1538 ± 396</w:t>
            </w:r>
          </w:p>
        </w:tc>
        <w:tc>
          <w:tcPr>
            <w:tcW w:w="1628" w:type="dxa"/>
            <w:tcBorders>
              <w:top w:val="nil"/>
              <w:left w:val="nil"/>
              <w:bottom w:val="nil"/>
              <w:right w:val="nil"/>
            </w:tcBorders>
            <w:shd w:val="clear" w:color="auto" w:fill="F2DBDB" w:themeFill="accent2" w:themeFillTint="33"/>
            <w:vAlign w:val="center"/>
          </w:tcPr>
          <w:p w14:paraId="50EAC451" w14:textId="512D412C" w:rsidR="00654E38" w:rsidRPr="00654E38" w:rsidRDefault="00654E38" w:rsidP="00654E38">
            <w:pPr>
              <w:jc w:val="center"/>
              <w:rPr>
                <w:rFonts w:cs="Arial"/>
                <w:sz w:val="18"/>
                <w:szCs w:val="18"/>
                <w:shd w:val="clear" w:color="auto" w:fill="C6D9F1" w:themeFill="text2" w:themeFillTint="33"/>
              </w:rPr>
            </w:pPr>
            <w:r w:rsidRPr="00654E38">
              <w:rPr>
                <w:rFonts w:cs="Arial"/>
                <w:sz w:val="18"/>
                <w:szCs w:val="18"/>
              </w:rPr>
              <w:t>1546 ± 421</w:t>
            </w:r>
          </w:p>
        </w:tc>
        <w:tc>
          <w:tcPr>
            <w:tcW w:w="1629" w:type="dxa"/>
            <w:tcBorders>
              <w:top w:val="nil"/>
              <w:left w:val="nil"/>
              <w:bottom w:val="nil"/>
              <w:right w:val="nil"/>
            </w:tcBorders>
            <w:shd w:val="clear" w:color="auto" w:fill="FFFFFF" w:themeFill="background1"/>
            <w:vAlign w:val="center"/>
          </w:tcPr>
          <w:p w14:paraId="597A268D" w14:textId="30374E11" w:rsidR="00654E38" w:rsidRDefault="00B60EE2" w:rsidP="00654E38">
            <w:pPr>
              <w:jc w:val="center"/>
              <w:rPr>
                <w:rFonts w:cs="Arial"/>
                <w:color w:val="000000" w:themeColor="text1"/>
                <w:sz w:val="18"/>
                <w:szCs w:val="18"/>
              </w:rPr>
            </w:pPr>
            <w:r>
              <w:rPr>
                <w:rFonts w:cs="Arial"/>
                <w:color w:val="000000" w:themeColor="text1"/>
                <w:sz w:val="18"/>
                <w:szCs w:val="18"/>
              </w:rPr>
              <w:t>Yes</w:t>
            </w:r>
          </w:p>
        </w:tc>
      </w:tr>
      <w:tr w:rsidR="00654E38" w14:paraId="34C10858" w14:textId="77777777" w:rsidTr="00654E38">
        <w:trPr>
          <w:trHeight w:val="340"/>
        </w:trPr>
        <w:tc>
          <w:tcPr>
            <w:tcW w:w="2439" w:type="dxa"/>
            <w:tcBorders>
              <w:top w:val="nil"/>
              <w:left w:val="nil"/>
              <w:bottom w:val="nil"/>
              <w:right w:val="nil"/>
            </w:tcBorders>
            <w:vAlign w:val="center"/>
          </w:tcPr>
          <w:p w14:paraId="74141198" w14:textId="0A4E9774" w:rsidR="00654E38" w:rsidRPr="00654E38" w:rsidRDefault="00654E38" w:rsidP="00B60EE2">
            <w:pPr>
              <w:ind w:right="177"/>
              <w:jc w:val="right"/>
              <w:rPr>
                <w:rFonts w:cs="Arial"/>
                <w:sz w:val="18"/>
                <w:szCs w:val="18"/>
              </w:rPr>
            </w:pPr>
            <w:r w:rsidRPr="00654E38">
              <w:rPr>
                <w:rFonts w:cs="Arial"/>
                <w:color w:val="000000" w:themeColor="text1"/>
                <w:sz w:val="18"/>
                <w:szCs w:val="18"/>
              </w:rPr>
              <w:t xml:space="preserve">  Daidzein</w:t>
            </w:r>
          </w:p>
        </w:tc>
        <w:tc>
          <w:tcPr>
            <w:tcW w:w="1628" w:type="dxa"/>
            <w:tcBorders>
              <w:top w:val="nil"/>
              <w:left w:val="nil"/>
              <w:bottom w:val="nil"/>
              <w:right w:val="nil"/>
            </w:tcBorders>
            <w:shd w:val="clear" w:color="auto" w:fill="auto"/>
            <w:vAlign w:val="center"/>
          </w:tcPr>
          <w:p w14:paraId="40F3EBBB" w14:textId="313089F2" w:rsidR="00654E38" w:rsidRPr="00654E38" w:rsidRDefault="00654E38" w:rsidP="00654E38">
            <w:pPr>
              <w:jc w:val="center"/>
              <w:rPr>
                <w:rFonts w:cs="Arial"/>
                <w:color w:val="000000" w:themeColor="text1"/>
                <w:sz w:val="18"/>
                <w:szCs w:val="18"/>
              </w:rPr>
            </w:pPr>
            <w:r w:rsidRPr="00654E38">
              <w:rPr>
                <w:rFonts w:cs="Arial"/>
                <w:sz w:val="18"/>
                <w:szCs w:val="18"/>
              </w:rPr>
              <w:t>850 ± 217</w:t>
            </w:r>
          </w:p>
        </w:tc>
        <w:tc>
          <w:tcPr>
            <w:tcW w:w="1628" w:type="dxa"/>
            <w:tcBorders>
              <w:top w:val="nil"/>
              <w:left w:val="nil"/>
              <w:bottom w:val="nil"/>
              <w:right w:val="nil"/>
            </w:tcBorders>
            <w:shd w:val="clear" w:color="auto" w:fill="F2DBDB" w:themeFill="accent2" w:themeFillTint="33"/>
            <w:vAlign w:val="center"/>
          </w:tcPr>
          <w:p w14:paraId="68A733FB" w14:textId="2E28CCCD" w:rsidR="00654E38" w:rsidRPr="00654E38" w:rsidRDefault="00654E38" w:rsidP="00654E38">
            <w:pPr>
              <w:jc w:val="center"/>
              <w:rPr>
                <w:rFonts w:cs="Arial"/>
                <w:color w:val="000000" w:themeColor="text1"/>
                <w:sz w:val="18"/>
                <w:szCs w:val="18"/>
              </w:rPr>
            </w:pPr>
            <w:r w:rsidRPr="00654E38">
              <w:rPr>
                <w:rFonts w:cs="Arial"/>
                <w:sz w:val="18"/>
                <w:szCs w:val="18"/>
              </w:rPr>
              <w:t>712 ± 199</w:t>
            </w:r>
          </w:p>
        </w:tc>
        <w:tc>
          <w:tcPr>
            <w:tcW w:w="1628" w:type="dxa"/>
            <w:tcBorders>
              <w:top w:val="nil"/>
              <w:left w:val="nil"/>
              <w:bottom w:val="nil"/>
              <w:right w:val="nil"/>
            </w:tcBorders>
            <w:shd w:val="clear" w:color="auto" w:fill="F2DBDB" w:themeFill="accent2" w:themeFillTint="33"/>
            <w:vAlign w:val="center"/>
          </w:tcPr>
          <w:p w14:paraId="71821639" w14:textId="6E459DAD" w:rsidR="00654E38" w:rsidRPr="00654E38" w:rsidRDefault="00654E38" w:rsidP="00654E38">
            <w:pPr>
              <w:jc w:val="center"/>
              <w:rPr>
                <w:rFonts w:cs="Arial"/>
                <w:color w:val="000000" w:themeColor="text1"/>
                <w:sz w:val="18"/>
                <w:szCs w:val="18"/>
              </w:rPr>
            </w:pPr>
            <w:r w:rsidRPr="00654E38">
              <w:rPr>
                <w:rFonts w:cs="Arial"/>
                <w:sz w:val="18"/>
                <w:szCs w:val="18"/>
              </w:rPr>
              <w:t>709 ± 203</w:t>
            </w:r>
          </w:p>
        </w:tc>
        <w:tc>
          <w:tcPr>
            <w:tcW w:w="1629" w:type="dxa"/>
            <w:tcBorders>
              <w:top w:val="nil"/>
              <w:left w:val="nil"/>
              <w:bottom w:val="nil"/>
              <w:right w:val="nil"/>
            </w:tcBorders>
            <w:shd w:val="clear" w:color="auto" w:fill="FFFFFF" w:themeFill="background1"/>
            <w:vAlign w:val="center"/>
          </w:tcPr>
          <w:p w14:paraId="269B7415" w14:textId="1099D354" w:rsidR="00654E38" w:rsidRPr="00654E38" w:rsidRDefault="00B60EE2" w:rsidP="00654E38">
            <w:pPr>
              <w:jc w:val="center"/>
              <w:rPr>
                <w:rFonts w:cs="Arial"/>
                <w:color w:val="000000" w:themeColor="text1"/>
                <w:sz w:val="18"/>
                <w:szCs w:val="18"/>
              </w:rPr>
            </w:pPr>
            <w:r>
              <w:rPr>
                <w:rFonts w:cs="Arial"/>
                <w:color w:val="000000" w:themeColor="text1"/>
                <w:sz w:val="18"/>
                <w:szCs w:val="18"/>
              </w:rPr>
              <w:t>Yes</w:t>
            </w:r>
          </w:p>
        </w:tc>
      </w:tr>
      <w:tr w:rsidR="00654E38" w14:paraId="58BA4806" w14:textId="77777777" w:rsidTr="00654E38">
        <w:trPr>
          <w:trHeight w:val="340"/>
        </w:trPr>
        <w:tc>
          <w:tcPr>
            <w:tcW w:w="2439" w:type="dxa"/>
            <w:tcBorders>
              <w:top w:val="nil"/>
              <w:left w:val="nil"/>
              <w:bottom w:val="nil"/>
              <w:right w:val="nil"/>
            </w:tcBorders>
            <w:vAlign w:val="center"/>
          </w:tcPr>
          <w:p w14:paraId="603500F1" w14:textId="4B9CE63F" w:rsidR="00654E38" w:rsidRPr="00654E38" w:rsidRDefault="00654E38" w:rsidP="00B60EE2">
            <w:pPr>
              <w:ind w:right="177"/>
              <w:jc w:val="right"/>
              <w:rPr>
                <w:rFonts w:cs="Arial"/>
                <w:sz w:val="18"/>
                <w:szCs w:val="18"/>
              </w:rPr>
            </w:pPr>
            <w:r w:rsidRPr="00654E38">
              <w:rPr>
                <w:rFonts w:cs="Arial"/>
                <w:color w:val="000000" w:themeColor="text1"/>
                <w:sz w:val="18"/>
                <w:szCs w:val="18"/>
              </w:rPr>
              <w:t xml:space="preserve">  Genistein</w:t>
            </w:r>
          </w:p>
        </w:tc>
        <w:tc>
          <w:tcPr>
            <w:tcW w:w="1628" w:type="dxa"/>
            <w:tcBorders>
              <w:top w:val="nil"/>
              <w:left w:val="nil"/>
              <w:bottom w:val="nil"/>
              <w:right w:val="nil"/>
            </w:tcBorders>
            <w:shd w:val="clear" w:color="auto" w:fill="auto"/>
            <w:vAlign w:val="center"/>
          </w:tcPr>
          <w:p w14:paraId="6C720F84" w14:textId="7D7A9638" w:rsidR="00654E38" w:rsidRPr="00654E38" w:rsidRDefault="00654E38" w:rsidP="00654E38">
            <w:pPr>
              <w:jc w:val="center"/>
              <w:rPr>
                <w:rFonts w:cs="Arial"/>
                <w:color w:val="000000" w:themeColor="text1"/>
                <w:sz w:val="18"/>
                <w:szCs w:val="18"/>
              </w:rPr>
            </w:pPr>
            <w:r w:rsidRPr="00654E38">
              <w:rPr>
                <w:rFonts w:cs="Arial"/>
                <w:sz w:val="18"/>
                <w:szCs w:val="18"/>
              </w:rPr>
              <w:t>808 ± 211</w:t>
            </w:r>
          </w:p>
        </w:tc>
        <w:tc>
          <w:tcPr>
            <w:tcW w:w="1628" w:type="dxa"/>
            <w:tcBorders>
              <w:top w:val="nil"/>
              <w:left w:val="nil"/>
              <w:bottom w:val="nil"/>
              <w:right w:val="nil"/>
            </w:tcBorders>
            <w:shd w:val="clear" w:color="auto" w:fill="F2DBDB" w:themeFill="accent2" w:themeFillTint="33"/>
            <w:vAlign w:val="center"/>
          </w:tcPr>
          <w:p w14:paraId="6ECA1F5B" w14:textId="62E1E9F6" w:rsidR="00654E38" w:rsidRPr="00654E38" w:rsidRDefault="00654E38" w:rsidP="00654E38">
            <w:pPr>
              <w:jc w:val="center"/>
              <w:rPr>
                <w:rFonts w:cs="Arial"/>
                <w:color w:val="000000" w:themeColor="text1"/>
                <w:sz w:val="18"/>
                <w:szCs w:val="18"/>
              </w:rPr>
            </w:pPr>
            <w:r w:rsidRPr="00654E38">
              <w:rPr>
                <w:rFonts w:cs="Arial"/>
                <w:sz w:val="18"/>
                <w:szCs w:val="18"/>
              </w:rPr>
              <w:t>690 ± 192</w:t>
            </w:r>
          </w:p>
        </w:tc>
        <w:tc>
          <w:tcPr>
            <w:tcW w:w="1628" w:type="dxa"/>
            <w:tcBorders>
              <w:top w:val="nil"/>
              <w:left w:val="nil"/>
              <w:bottom w:val="nil"/>
              <w:right w:val="nil"/>
            </w:tcBorders>
            <w:shd w:val="clear" w:color="auto" w:fill="F2DBDB" w:themeFill="accent2" w:themeFillTint="33"/>
            <w:vAlign w:val="center"/>
          </w:tcPr>
          <w:p w14:paraId="5B21CF2F" w14:textId="0FD979E2" w:rsidR="00654E38" w:rsidRPr="00654E38" w:rsidRDefault="00654E38" w:rsidP="00654E38">
            <w:pPr>
              <w:jc w:val="center"/>
              <w:rPr>
                <w:rFonts w:cs="Arial"/>
                <w:color w:val="000000" w:themeColor="text1"/>
                <w:sz w:val="18"/>
                <w:szCs w:val="18"/>
              </w:rPr>
            </w:pPr>
            <w:r w:rsidRPr="00654E38">
              <w:rPr>
                <w:rFonts w:cs="Arial"/>
                <w:sz w:val="18"/>
                <w:szCs w:val="18"/>
              </w:rPr>
              <w:t>703 ± 211</w:t>
            </w:r>
          </w:p>
        </w:tc>
        <w:tc>
          <w:tcPr>
            <w:tcW w:w="1629" w:type="dxa"/>
            <w:tcBorders>
              <w:top w:val="nil"/>
              <w:left w:val="nil"/>
              <w:bottom w:val="nil"/>
              <w:right w:val="nil"/>
            </w:tcBorders>
            <w:shd w:val="clear" w:color="auto" w:fill="FFFFFF" w:themeFill="background1"/>
            <w:vAlign w:val="center"/>
          </w:tcPr>
          <w:p w14:paraId="3B1611EB" w14:textId="0601A567" w:rsidR="00654E38" w:rsidRDefault="00B60EE2" w:rsidP="00654E38">
            <w:pPr>
              <w:jc w:val="center"/>
              <w:rPr>
                <w:rFonts w:cs="Arial"/>
                <w:color w:val="000000" w:themeColor="text1"/>
                <w:sz w:val="18"/>
                <w:szCs w:val="18"/>
              </w:rPr>
            </w:pPr>
            <w:r>
              <w:rPr>
                <w:rFonts w:cs="Arial"/>
                <w:color w:val="000000" w:themeColor="text1"/>
                <w:sz w:val="18"/>
                <w:szCs w:val="18"/>
              </w:rPr>
              <w:t>Yes</w:t>
            </w:r>
          </w:p>
        </w:tc>
      </w:tr>
      <w:tr w:rsidR="00654E38" w14:paraId="7706ACEA" w14:textId="77777777" w:rsidTr="00654E38">
        <w:trPr>
          <w:trHeight w:val="340"/>
        </w:trPr>
        <w:tc>
          <w:tcPr>
            <w:tcW w:w="2439" w:type="dxa"/>
            <w:tcBorders>
              <w:top w:val="nil"/>
              <w:left w:val="nil"/>
              <w:bottom w:val="nil"/>
              <w:right w:val="nil"/>
            </w:tcBorders>
            <w:vAlign w:val="center"/>
          </w:tcPr>
          <w:p w14:paraId="40249B20" w14:textId="1A7937B5" w:rsidR="00654E38" w:rsidRPr="00654E38" w:rsidRDefault="00654E38" w:rsidP="00B60EE2">
            <w:pPr>
              <w:ind w:right="177"/>
              <w:jc w:val="right"/>
              <w:rPr>
                <w:rFonts w:cs="Arial"/>
                <w:sz w:val="18"/>
                <w:szCs w:val="18"/>
              </w:rPr>
            </w:pPr>
            <w:r w:rsidRPr="00654E38">
              <w:rPr>
                <w:rFonts w:cs="Arial"/>
                <w:color w:val="000000" w:themeColor="text1"/>
                <w:sz w:val="18"/>
                <w:szCs w:val="18"/>
              </w:rPr>
              <w:t xml:space="preserve">  Glycitein </w:t>
            </w:r>
          </w:p>
        </w:tc>
        <w:tc>
          <w:tcPr>
            <w:tcW w:w="1628" w:type="dxa"/>
            <w:tcBorders>
              <w:top w:val="nil"/>
              <w:left w:val="nil"/>
              <w:bottom w:val="nil"/>
              <w:right w:val="nil"/>
            </w:tcBorders>
            <w:shd w:val="clear" w:color="auto" w:fill="auto"/>
            <w:vAlign w:val="center"/>
          </w:tcPr>
          <w:p w14:paraId="575FFD01" w14:textId="0B3080EF" w:rsidR="00654E38" w:rsidRPr="00654E38" w:rsidRDefault="00654E38" w:rsidP="00654E38">
            <w:pPr>
              <w:jc w:val="center"/>
              <w:rPr>
                <w:rFonts w:cs="Arial"/>
                <w:color w:val="000000" w:themeColor="text1"/>
                <w:sz w:val="18"/>
                <w:szCs w:val="18"/>
              </w:rPr>
            </w:pPr>
            <w:r w:rsidRPr="00654E38">
              <w:rPr>
                <w:rFonts w:cs="Arial"/>
                <w:sz w:val="18"/>
                <w:szCs w:val="18"/>
              </w:rPr>
              <w:t>160 ± 29.0</w:t>
            </w:r>
          </w:p>
        </w:tc>
        <w:tc>
          <w:tcPr>
            <w:tcW w:w="1628" w:type="dxa"/>
            <w:tcBorders>
              <w:top w:val="nil"/>
              <w:left w:val="nil"/>
              <w:bottom w:val="nil"/>
              <w:right w:val="nil"/>
            </w:tcBorders>
            <w:shd w:val="clear" w:color="auto" w:fill="F2DBDB" w:themeFill="accent2" w:themeFillTint="33"/>
            <w:vAlign w:val="center"/>
          </w:tcPr>
          <w:p w14:paraId="1879FC29" w14:textId="5ECF0F17" w:rsidR="00654E38" w:rsidRPr="00654E38" w:rsidRDefault="00654E38" w:rsidP="00654E38">
            <w:pPr>
              <w:jc w:val="center"/>
              <w:rPr>
                <w:rFonts w:cs="Arial"/>
                <w:color w:val="000000" w:themeColor="text1"/>
                <w:sz w:val="18"/>
                <w:szCs w:val="18"/>
              </w:rPr>
            </w:pPr>
            <w:r w:rsidRPr="00654E38">
              <w:rPr>
                <w:rFonts w:cs="Arial"/>
                <w:sz w:val="18"/>
                <w:szCs w:val="18"/>
              </w:rPr>
              <w:t>136 ± 32.2</w:t>
            </w:r>
          </w:p>
        </w:tc>
        <w:tc>
          <w:tcPr>
            <w:tcW w:w="1628" w:type="dxa"/>
            <w:tcBorders>
              <w:top w:val="nil"/>
              <w:left w:val="nil"/>
              <w:bottom w:val="nil"/>
              <w:right w:val="nil"/>
            </w:tcBorders>
            <w:shd w:val="clear" w:color="auto" w:fill="F2DBDB" w:themeFill="accent2" w:themeFillTint="33"/>
            <w:vAlign w:val="center"/>
          </w:tcPr>
          <w:p w14:paraId="1ACB80D8" w14:textId="4882BD05" w:rsidR="00654E38" w:rsidRPr="00654E38" w:rsidRDefault="00654E38" w:rsidP="00654E38">
            <w:pPr>
              <w:jc w:val="center"/>
              <w:rPr>
                <w:rFonts w:cs="Arial"/>
                <w:color w:val="000000" w:themeColor="text1"/>
                <w:sz w:val="18"/>
                <w:szCs w:val="18"/>
              </w:rPr>
            </w:pPr>
            <w:r w:rsidRPr="00654E38">
              <w:rPr>
                <w:rFonts w:cs="Arial"/>
                <w:sz w:val="18"/>
                <w:szCs w:val="18"/>
              </w:rPr>
              <w:t>134 ± 18.2</w:t>
            </w:r>
          </w:p>
        </w:tc>
        <w:tc>
          <w:tcPr>
            <w:tcW w:w="1629" w:type="dxa"/>
            <w:tcBorders>
              <w:top w:val="nil"/>
              <w:left w:val="nil"/>
              <w:bottom w:val="nil"/>
              <w:right w:val="nil"/>
            </w:tcBorders>
            <w:shd w:val="clear" w:color="auto" w:fill="FFFFFF" w:themeFill="background1"/>
            <w:vAlign w:val="center"/>
          </w:tcPr>
          <w:p w14:paraId="0C1AB10B" w14:textId="0C08E8A8" w:rsidR="00654E38" w:rsidRDefault="00B60EE2" w:rsidP="00654E38">
            <w:pPr>
              <w:jc w:val="center"/>
              <w:rPr>
                <w:rFonts w:cs="Arial"/>
                <w:color w:val="000000" w:themeColor="text1"/>
                <w:sz w:val="18"/>
                <w:szCs w:val="18"/>
              </w:rPr>
            </w:pPr>
            <w:r>
              <w:rPr>
                <w:rFonts w:cs="Arial"/>
                <w:color w:val="000000" w:themeColor="text1"/>
                <w:sz w:val="18"/>
                <w:szCs w:val="18"/>
              </w:rPr>
              <w:t>Yes</w:t>
            </w:r>
          </w:p>
        </w:tc>
      </w:tr>
    </w:tbl>
    <w:p w14:paraId="5BC2AB3C" w14:textId="77777777" w:rsidR="00654E38" w:rsidRDefault="00E620E9" w:rsidP="00654E38">
      <w:pPr>
        <w:pStyle w:val="BodyTextIndent"/>
        <w:tabs>
          <w:tab w:val="left" w:pos="851"/>
        </w:tabs>
        <w:spacing w:before="100" w:after="0" w:line="240" w:lineRule="auto"/>
        <w:ind w:left="170" w:right="306" w:firstLine="0"/>
        <w:rPr>
          <w:rFonts w:ascii="Arial" w:hAnsi="Arial" w:cs="Arial"/>
          <w:color w:val="000000" w:themeColor="text1"/>
          <w:sz w:val="16"/>
          <w:szCs w:val="18"/>
        </w:rPr>
      </w:pPr>
      <w:r w:rsidRPr="00654E38">
        <w:rPr>
          <w:rFonts w:ascii="Arial" w:hAnsi="Arial" w:cs="Arial"/>
          <w:color w:val="000000" w:themeColor="text1"/>
          <w:sz w:val="16"/>
          <w:szCs w:val="18"/>
        </w:rPr>
        <w:t xml:space="preserve">1. Cells highlighted in red show data where </w:t>
      </w:r>
      <w:r w:rsidR="00654E38" w:rsidRPr="00654E38">
        <w:rPr>
          <w:rFonts w:ascii="Arial" w:hAnsi="Arial" w:cs="Arial"/>
          <w:color w:val="000000" w:themeColor="text1"/>
          <w:sz w:val="16"/>
          <w:szCs w:val="18"/>
        </w:rPr>
        <w:t>GMB151</w:t>
      </w:r>
      <w:r w:rsidRPr="00654E38">
        <w:rPr>
          <w:rFonts w:ascii="Arial" w:hAnsi="Arial" w:cs="Arial"/>
          <w:color w:val="000000" w:themeColor="text1"/>
          <w:sz w:val="16"/>
          <w:szCs w:val="18"/>
        </w:rPr>
        <w:t xml:space="preserve"> is significantly lower than the parental </w:t>
      </w:r>
      <w:r w:rsidR="00654E38" w:rsidRPr="00654E38">
        <w:rPr>
          <w:rFonts w:ascii="Arial" w:hAnsi="Arial" w:cs="Arial"/>
          <w:color w:val="000000" w:themeColor="text1"/>
          <w:sz w:val="16"/>
          <w:szCs w:val="18"/>
        </w:rPr>
        <w:t>Thorne</w:t>
      </w:r>
      <w:r w:rsidRPr="00654E38">
        <w:rPr>
          <w:rFonts w:ascii="Arial" w:hAnsi="Arial" w:cs="Arial"/>
          <w:color w:val="000000" w:themeColor="text1"/>
          <w:sz w:val="16"/>
          <w:szCs w:val="18"/>
        </w:rPr>
        <w:t xml:space="preserve"> </w:t>
      </w:r>
      <w:r w:rsidR="00654E38" w:rsidRPr="00654E38">
        <w:rPr>
          <w:rFonts w:ascii="Arial" w:hAnsi="Arial" w:cs="Arial"/>
          <w:color w:val="000000" w:themeColor="text1"/>
          <w:sz w:val="16"/>
          <w:szCs w:val="18"/>
        </w:rPr>
        <w:t>cultivar</w:t>
      </w:r>
      <w:r w:rsidRPr="00654E38">
        <w:rPr>
          <w:rFonts w:ascii="Arial" w:hAnsi="Arial" w:cs="Arial"/>
          <w:color w:val="000000" w:themeColor="text1"/>
          <w:sz w:val="16"/>
          <w:szCs w:val="18"/>
        </w:rPr>
        <w:t xml:space="preserve">. </w:t>
      </w:r>
    </w:p>
    <w:p w14:paraId="2F66F73A" w14:textId="6E29FC58" w:rsidR="00E620E9" w:rsidRPr="00654E38" w:rsidRDefault="00E620E9" w:rsidP="00654E38">
      <w:pPr>
        <w:pStyle w:val="BodyTextIndent"/>
        <w:tabs>
          <w:tab w:val="left" w:pos="851"/>
        </w:tabs>
        <w:spacing w:after="0" w:line="240" w:lineRule="auto"/>
        <w:ind w:left="170" w:right="306" w:firstLine="0"/>
        <w:rPr>
          <w:rFonts w:ascii="Arial" w:hAnsi="Arial" w:cs="Arial"/>
          <w:b/>
          <w:i/>
          <w:color w:val="000000" w:themeColor="text1"/>
          <w:sz w:val="16"/>
          <w:szCs w:val="18"/>
        </w:rPr>
      </w:pPr>
      <w:r w:rsidRPr="00654E38">
        <w:rPr>
          <w:rFonts w:ascii="Arial" w:hAnsi="Arial" w:cs="Arial"/>
          <w:color w:val="000000" w:themeColor="text1"/>
          <w:sz w:val="16"/>
          <w:szCs w:val="18"/>
        </w:rPr>
        <w:t xml:space="preserve">2. Cells highlighted in green show data where </w:t>
      </w:r>
      <w:r w:rsidR="00654E38" w:rsidRPr="00654E38">
        <w:rPr>
          <w:rFonts w:ascii="Arial" w:hAnsi="Arial" w:cs="Arial"/>
          <w:color w:val="000000" w:themeColor="text1"/>
          <w:sz w:val="16"/>
          <w:szCs w:val="18"/>
        </w:rPr>
        <w:t>GMB151</w:t>
      </w:r>
      <w:r w:rsidRPr="00654E38">
        <w:rPr>
          <w:rFonts w:ascii="Arial" w:hAnsi="Arial" w:cs="Arial"/>
          <w:color w:val="000000" w:themeColor="text1"/>
          <w:sz w:val="16"/>
          <w:szCs w:val="18"/>
        </w:rPr>
        <w:t xml:space="preserve"> is significantly higher than the parental </w:t>
      </w:r>
      <w:r w:rsidR="00654E38" w:rsidRPr="00654E38">
        <w:rPr>
          <w:rFonts w:ascii="Arial" w:hAnsi="Arial" w:cs="Arial"/>
          <w:color w:val="000000" w:themeColor="text1"/>
          <w:sz w:val="16"/>
          <w:szCs w:val="18"/>
        </w:rPr>
        <w:t>Thorne cultivar</w:t>
      </w:r>
      <w:r w:rsidRPr="00654E38">
        <w:rPr>
          <w:rFonts w:ascii="Arial" w:hAnsi="Arial" w:cs="Arial"/>
          <w:color w:val="000000" w:themeColor="text1"/>
          <w:sz w:val="16"/>
          <w:szCs w:val="18"/>
        </w:rPr>
        <w:t>.</w:t>
      </w:r>
    </w:p>
    <w:p w14:paraId="1C274A08" w14:textId="77777777" w:rsidR="00E620E9" w:rsidRPr="00F76063" w:rsidRDefault="00E620E9" w:rsidP="00E620E9">
      <w:pPr>
        <w:rPr>
          <w:color w:val="000000" w:themeColor="text1"/>
        </w:rPr>
      </w:pPr>
    </w:p>
    <w:p w14:paraId="2A4FE635" w14:textId="77777777" w:rsidR="00E620E9" w:rsidRPr="00BB5B58" w:rsidRDefault="00E620E9" w:rsidP="00221257">
      <w:pPr>
        <w:pStyle w:val="Heading1"/>
        <w:ind w:left="567" w:hanging="567"/>
      </w:pPr>
      <w:bookmarkStart w:id="245" w:name="_Toc496169815"/>
      <w:bookmarkStart w:id="246" w:name="_Toc500321365"/>
      <w:bookmarkStart w:id="247" w:name="_Toc34830901"/>
      <w:r w:rsidRPr="00BB5B58">
        <w:t xml:space="preserve">6 </w:t>
      </w:r>
      <w:r w:rsidRPr="00BB5B58">
        <w:tab/>
        <w:t>Nutritional impact</w:t>
      </w:r>
      <w:bookmarkEnd w:id="242"/>
      <w:bookmarkEnd w:id="243"/>
      <w:bookmarkEnd w:id="245"/>
      <w:bookmarkEnd w:id="246"/>
      <w:bookmarkEnd w:id="247"/>
    </w:p>
    <w:p w14:paraId="563F35CD" w14:textId="3B7E181E" w:rsidR="00E620E9" w:rsidRPr="00147918" w:rsidRDefault="00E620E9" w:rsidP="00E620E9">
      <w:pPr>
        <w:rPr>
          <w:rFonts w:cs="Arial"/>
          <w:color w:val="000000" w:themeColor="text1"/>
          <w:szCs w:val="22"/>
        </w:rPr>
      </w:pPr>
      <w:r w:rsidRPr="00147918">
        <w:rPr>
          <w:rFonts w:cs="Arial"/>
          <w:color w:val="000000" w:themeColor="text1"/>
          <w:szCs w:val="22"/>
        </w:rPr>
        <w:t xml:space="preserve">In assessing the safety of a GM food, a key factor is the need to establish that the food is nutritionally adequate and will support typical growth and wellbeing. In most cases, this can be achieved through a detailed understanding of the genetic modification and its consequences, together with an extensive compositional analysis of the food, such as that presented in </w:t>
      </w:r>
      <w:hyperlink w:anchor="_5_Compositional_analysis" w:history="1">
        <w:r w:rsidRPr="004969FF">
          <w:rPr>
            <w:rStyle w:val="Hyperlink"/>
            <w:rFonts w:cs="Arial"/>
            <w:szCs w:val="22"/>
          </w:rPr>
          <w:t>Section 5</w:t>
        </w:r>
      </w:hyperlink>
      <w:r w:rsidRPr="00147918">
        <w:rPr>
          <w:rFonts w:cs="Arial"/>
          <w:color w:val="000000" w:themeColor="text1"/>
          <w:szCs w:val="22"/>
        </w:rPr>
        <w:t xml:space="preserve"> of this report.</w:t>
      </w:r>
    </w:p>
    <w:p w14:paraId="51FFDC4D" w14:textId="77777777" w:rsidR="00E620E9" w:rsidRDefault="00E620E9" w:rsidP="00E620E9">
      <w:pPr>
        <w:rPr>
          <w:rFonts w:cs="Arial"/>
          <w:color w:val="000000" w:themeColor="text1"/>
          <w:szCs w:val="22"/>
        </w:rPr>
      </w:pPr>
    </w:p>
    <w:p w14:paraId="5FB36637" w14:textId="6E4D4C25" w:rsidR="00E620E9" w:rsidRPr="00147918" w:rsidRDefault="00E620E9" w:rsidP="00E620E9">
      <w:pPr>
        <w:rPr>
          <w:rFonts w:cs="Arial"/>
          <w:color w:val="000000" w:themeColor="text1"/>
          <w:szCs w:val="22"/>
        </w:rPr>
      </w:pPr>
      <w:r w:rsidRPr="00147918">
        <w:rPr>
          <w:rFonts w:cs="Arial"/>
          <w:color w:val="000000" w:themeColor="text1"/>
          <w:szCs w:val="22"/>
        </w:rPr>
        <w:t xml:space="preserve">Where a GM food has been shown to be compositionally equivalent to conventional varieties, the evidence to date indicates that feeding studies using target livestock or other animal species will add little to the safety assessment (Bartholomaeus et al. 2013; OECD 2003). If the compositional analysis indicates biologically significant changes, either intended or unintended, to the levels of certain nutrients in the GM food, additional nutritional studies should be undertaken to assess the potential impact of the changes on the whole diet. </w:t>
      </w:r>
    </w:p>
    <w:p w14:paraId="00652992" w14:textId="77777777" w:rsidR="00E620E9" w:rsidRPr="00147918" w:rsidRDefault="00E620E9" w:rsidP="00E620E9">
      <w:pPr>
        <w:rPr>
          <w:rFonts w:cs="Arial"/>
          <w:color w:val="000000" w:themeColor="text1"/>
          <w:szCs w:val="22"/>
        </w:rPr>
      </w:pPr>
    </w:p>
    <w:p w14:paraId="5C104C88" w14:textId="2A82902C" w:rsidR="00040538" w:rsidRDefault="00E620E9" w:rsidP="00690206">
      <w:pPr>
        <w:rPr>
          <w:rFonts w:cs="Arial"/>
          <w:color w:val="000000" w:themeColor="text1"/>
          <w:szCs w:val="22"/>
        </w:rPr>
      </w:pPr>
      <w:r>
        <w:rPr>
          <w:rFonts w:cs="Arial"/>
          <w:color w:val="000000" w:themeColor="text1"/>
          <w:szCs w:val="22"/>
        </w:rPr>
        <w:t>GMB151</w:t>
      </w:r>
      <w:r w:rsidRPr="00147918">
        <w:rPr>
          <w:rFonts w:cs="Arial"/>
          <w:color w:val="000000" w:themeColor="text1"/>
          <w:szCs w:val="22"/>
        </w:rPr>
        <w:t xml:space="preserve"> is the result of a simple genetic modification to confer </w:t>
      </w:r>
      <w:r>
        <w:rPr>
          <w:rFonts w:cs="Arial"/>
          <w:color w:val="000000" w:themeColor="text1"/>
          <w:szCs w:val="22"/>
        </w:rPr>
        <w:t>protection from parasitic nematodes and tolerance to HPPD inhibitor herbicides</w:t>
      </w:r>
      <w:r w:rsidRPr="00147918">
        <w:rPr>
          <w:rFonts w:cs="Arial"/>
          <w:color w:val="000000" w:themeColor="text1"/>
          <w:szCs w:val="22"/>
        </w:rPr>
        <w:t xml:space="preserve">, with no intention to significantly alter nutritional parameters in the food. The compositional analyses have demonstrated that the genetic modification has not altered the nutritional adequacy of </w:t>
      </w:r>
      <w:r>
        <w:rPr>
          <w:rFonts w:cs="Arial"/>
          <w:color w:val="000000" w:themeColor="text1"/>
          <w:szCs w:val="22"/>
        </w:rPr>
        <w:t xml:space="preserve">GMB151 </w:t>
      </w:r>
      <w:r w:rsidRPr="00147918">
        <w:rPr>
          <w:rFonts w:cs="Arial"/>
          <w:color w:val="000000" w:themeColor="text1"/>
          <w:szCs w:val="22"/>
        </w:rPr>
        <w:t xml:space="preserve">as a source of food when compared with that of conventional </w:t>
      </w:r>
      <w:r>
        <w:rPr>
          <w:rFonts w:cs="Arial"/>
          <w:color w:val="000000" w:themeColor="text1"/>
          <w:szCs w:val="22"/>
        </w:rPr>
        <w:t xml:space="preserve">soybean </w:t>
      </w:r>
      <w:r w:rsidRPr="00147918">
        <w:rPr>
          <w:rFonts w:cs="Arial"/>
          <w:color w:val="000000" w:themeColor="text1"/>
          <w:szCs w:val="22"/>
        </w:rPr>
        <w:t xml:space="preserve">varieties. The introduction of foods derived from </w:t>
      </w:r>
      <w:r>
        <w:rPr>
          <w:rFonts w:cs="Arial"/>
          <w:color w:val="000000" w:themeColor="text1"/>
          <w:szCs w:val="22"/>
        </w:rPr>
        <w:t>GMB151</w:t>
      </w:r>
      <w:r w:rsidRPr="00147918">
        <w:rPr>
          <w:rFonts w:cs="Arial"/>
          <w:color w:val="000000" w:themeColor="text1"/>
          <w:szCs w:val="22"/>
        </w:rPr>
        <w:t xml:space="preserve"> into the food supply is therefore expected to have</w:t>
      </w:r>
      <w:r>
        <w:rPr>
          <w:rFonts w:cs="Arial"/>
          <w:color w:val="000000" w:themeColor="text1"/>
          <w:szCs w:val="22"/>
        </w:rPr>
        <w:t xml:space="preserve"> negligible nutritional impact.</w:t>
      </w:r>
    </w:p>
    <w:p w14:paraId="6DE1B109" w14:textId="77777777" w:rsidR="00E620E9" w:rsidRDefault="00E620E9" w:rsidP="00690206"/>
    <w:p w14:paraId="366E8B2F" w14:textId="1A5F33F8" w:rsidR="0044414A" w:rsidRPr="00BB5B58" w:rsidRDefault="0044414A" w:rsidP="0044414A">
      <w:pPr>
        <w:pStyle w:val="Heading1"/>
        <w:ind w:left="567" w:hanging="567"/>
      </w:pPr>
      <w:bookmarkStart w:id="248" w:name="_Toc34830902"/>
      <w:r>
        <w:t>7</w:t>
      </w:r>
      <w:r w:rsidRPr="00BB5B58">
        <w:tab/>
      </w:r>
      <w:r>
        <w:t>References</w:t>
      </w:r>
      <w:bookmarkEnd w:id="248"/>
    </w:p>
    <w:p w14:paraId="4AE9B629" w14:textId="3B28AAB2" w:rsidR="00B97002" w:rsidRDefault="00B97002" w:rsidP="00B97002">
      <w:pPr>
        <w:widowControl/>
        <w:autoSpaceDE w:val="0"/>
        <w:autoSpaceDN w:val="0"/>
        <w:adjustRightInd w:val="0"/>
        <w:spacing w:after="120"/>
        <w:rPr>
          <w:rFonts w:ascii="ArialMT" w:hAnsi="ArialMT" w:cs="ArialMT"/>
          <w:sz w:val="20"/>
          <w:szCs w:val="20"/>
          <w:lang w:eastAsia="en-GB" w:bidi="ar-SA"/>
        </w:rPr>
      </w:pPr>
      <w:r>
        <w:rPr>
          <w:rFonts w:ascii="ArialMT" w:hAnsi="ArialMT" w:cs="ArialMT"/>
          <w:sz w:val="20"/>
          <w:szCs w:val="20"/>
          <w:lang w:eastAsia="en-GB" w:bidi="ar-SA"/>
        </w:rPr>
        <w:t>Allison RF, Dougherty WG, Parks TD, Willis L, Johnston RE, Kelly M, Armstrong FB (1985) Biochemical analysis of the capsid protein gene and capsid protein of tobacco etch virus: N-terminal amino acids are located on the virion's surface. Virology 147(2):309-316</w:t>
      </w:r>
    </w:p>
    <w:p w14:paraId="637DBD53" w14:textId="77777777" w:rsidR="00D36458" w:rsidRDefault="00D36458" w:rsidP="00D36458">
      <w:pPr>
        <w:spacing w:after="120"/>
        <w:rPr>
          <w:sz w:val="20"/>
          <w:szCs w:val="20"/>
        </w:rPr>
      </w:pPr>
      <w:r w:rsidRPr="005A385E">
        <w:rPr>
          <w:sz w:val="20"/>
          <w:szCs w:val="20"/>
        </w:rPr>
        <w:t xml:space="preserve">Anderson IC, Robertson DS (1960) Role of carotenoids in protecting chlorophyll from </w:t>
      </w:r>
      <w:r>
        <w:rPr>
          <w:sz w:val="20"/>
          <w:szCs w:val="20"/>
        </w:rPr>
        <w:t>p</w:t>
      </w:r>
      <w:r w:rsidRPr="005A385E">
        <w:rPr>
          <w:sz w:val="20"/>
          <w:szCs w:val="20"/>
        </w:rPr>
        <w:t>hotodestruction. Plant Physiol 35(4):531-534</w:t>
      </w:r>
    </w:p>
    <w:p w14:paraId="0270D60E" w14:textId="19FD4D61" w:rsidR="00040538" w:rsidRDefault="00F001FF" w:rsidP="0044414A">
      <w:pPr>
        <w:spacing w:after="120"/>
        <w:rPr>
          <w:sz w:val="20"/>
          <w:szCs w:val="20"/>
        </w:rPr>
      </w:pPr>
      <w:r w:rsidRPr="00926EC6">
        <w:rPr>
          <w:sz w:val="20"/>
          <w:szCs w:val="20"/>
        </w:rPr>
        <w:t xml:space="preserve">APVMA </w:t>
      </w:r>
      <w:r>
        <w:rPr>
          <w:sz w:val="20"/>
          <w:szCs w:val="20"/>
        </w:rPr>
        <w:t xml:space="preserve">(2020) </w:t>
      </w:r>
      <w:r w:rsidRPr="00AC17B4">
        <w:rPr>
          <w:i/>
          <w:sz w:val="20"/>
          <w:szCs w:val="20"/>
        </w:rPr>
        <w:t>Bacillus thuringiensis</w:t>
      </w:r>
      <w:r>
        <w:rPr>
          <w:sz w:val="20"/>
          <w:szCs w:val="20"/>
        </w:rPr>
        <w:t xml:space="preserve"> products identified by searching the APVMA website for “thuringiensis” and recording those products that have been approved and registered.</w:t>
      </w:r>
    </w:p>
    <w:p w14:paraId="258E3770" w14:textId="3412D59B" w:rsidR="009C4B24" w:rsidRDefault="009C4B24" w:rsidP="0044414A">
      <w:pPr>
        <w:spacing w:after="120"/>
        <w:rPr>
          <w:sz w:val="20"/>
          <w:szCs w:val="20"/>
        </w:rPr>
      </w:pPr>
      <w:r>
        <w:rPr>
          <w:sz w:val="20"/>
          <w:szCs w:val="20"/>
        </w:rPr>
        <w:t xml:space="preserve">AOC (2008) Soybeans – growing </w:t>
      </w:r>
      <w:r w:rsidR="000547B3">
        <w:rPr>
          <w:sz w:val="20"/>
          <w:szCs w:val="20"/>
        </w:rPr>
        <w:t xml:space="preserve">guide for Queensland factsheet. Australian Oilseed Federation. </w:t>
      </w:r>
      <w:hyperlink r:id="rId17" w:history="1">
        <w:r w:rsidR="000547B3" w:rsidRPr="004E5984">
          <w:rPr>
            <w:rStyle w:val="Hyperlink"/>
            <w:sz w:val="20"/>
            <w:szCs w:val="20"/>
          </w:rPr>
          <w:t>https://tinyurl.com/r35v9e5</w:t>
        </w:r>
      </w:hyperlink>
      <w:r w:rsidR="000547B3">
        <w:rPr>
          <w:sz w:val="20"/>
          <w:szCs w:val="20"/>
        </w:rPr>
        <w:t xml:space="preserve"> </w:t>
      </w:r>
    </w:p>
    <w:p w14:paraId="67DCCC71" w14:textId="7B436461" w:rsidR="001368D6" w:rsidRDefault="001368D6" w:rsidP="0044414A">
      <w:pPr>
        <w:spacing w:after="120"/>
        <w:rPr>
          <w:sz w:val="20"/>
          <w:szCs w:val="20"/>
        </w:rPr>
      </w:pPr>
      <w:r w:rsidRPr="00FD65CA">
        <w:rPr>
          <w:sz w:val="20"/>
          <w:szCs w:val="20"/>
        </w:rPr>
        <w:t>Bartholomaeus A, Parrott W, Bondy G, Walker K (2013) The use of whole food animal studies in the safety assessment of genetically modified crops: Limitations and recommendations. Crit Rev Toxicol 43(S2):1-24</w:t>
      </w:r>
    </w:p>
    <w:p w14:paraId="609D1382" w14:textId="6D391018" w:rsidR="00040538" w:rsidRDefault="002C2563" w:rsidP="0044414A">
      <w:pPr>
        <w:spacing w:after="120"/>
        <w:rPr>
          <w:sz w:val="20"/>
          <w:szCs w:val="20"/>
        </w:rPr>
      </w:pPr>
      <w:r>
        <w:rPr>
          <w:sz w:val="20"/>
          <w:szCs w:val="20"/>
        </w:rPr>
        <w:t xml:space="preserve">CERA (2011) A review of the environmental safety of the Cry1Ab protein. </w:t>
      </w:r>
      <w:r w:rsidRPr="003E58CF">
        <w:rPr>
          <w:sz w:val="20"/>
          <w:szCs w:val="20"/>
        </w:rPr>
        <w:t>Center for Environmental Risk Assessment, ILSI Research Foundation</w:t>
      </w:r>
      <w:r>
        <w:rPr>
          <w:sz w:val="20"/>
          <w:szCs w:val="20"/>
        </w:rPr>
        <w:t xml:space="preserve">, Washington </w:t>
      </w:r>
      <w:hyperlink r:id="rId18" w:anchor="publications1" w:history="1">
        <w:r w:rsidRPr="00C8746D">
          <w:rPr>
            <w:rStyle w:val="Hyperlink"/>
            <w:sz w:val="20"/>
            <w:szCs w:val="20"/>
          </w:rPr>
          <w:t>http://ilsirf.org/publication/a-review-of-the-environmental-safety-of-the-cry1ab-protein/?kp1=2#publications1</w:t>
        </w:r>
      </w:hyperlink>
      <w:r>
        <w:rPr>
          <w:sz w:val="20"/>
          <w:szCs w:val="20"/>
        </w:rPr>
        <w:t xml:space="preserve"> (accessed </w:t>
      </w:r>
      <w:r w:rsidR="00F001FF">
        <w:rPr>
          <w:sz w:val="20"/>
          <w:szCs w:val="20"/>
        </w:rPr>
        <w:t>February 2020</w:t>
      </w:r>
      <w:r>
        <w:rPr>
          <w:sz w:val="20"/>
          <w:szCs w:val="20"/>
        </w:rPr>
        <w:t>)</w:t>
      </w:r>
    </w:p>
    <w:p w14:paraId="412B628D" w14:textId="3546ABFC" w:rsidR="00D55F71" w:rsidRPr="00D55F71" w:rsidRDefault="00D55F71" w:rsidP="0044414A">
      <w:pPr>
        <w:spacing w:after="120"/>
        <w:rPr>
          <w:sz w:val="20"/>
        </w:rPr>
      </w:pPr>
      <w:r w:rsidRPr="00D55F71">
        <w:rPr>
          <w:sz w:val="20"/>
        </w:rPr>
        <w:t>Chase DL, Pepper JS, Koelle MR</w:t>
      </w:r>
      <w:r>
        <w:rPr>
          <w:sz w:val="20"/>
        </w:rPr>
        <w:t xml:space="preserve"> (2004)</w:t>
      </w:r>
      <w:r w:rsidRPr="00D55F71">
        <w:rPr>
          <w:sz w:val="20"/>
        </w:rPr>
        <w:t xml:space="preserve"> Mechanism of extrasynaptic dopamine signaling in </w:t>
      </w:r>
      <w:r w:rsidRPr="00D55F71">
        <w:rPr>
          <w:i/>
          <w:sz w:val="20"/>
        </w:rPr>
        <w:t>Caenorhabditis elegans</w:t>
      </w:r>
      <w:r w:rsidRPr="00D55F71">
        <w:rPr>
          <w:sz w:val="20"/>
        </w:rPr>
        <w:t>. Nat Neurosci</w:t>
      </w:r>
      <w:r>
        <w:rPr>
          <w:sz w:val="20"/>
        </w:rPr>
        <w:t xml:space="preserve"> </w:t>
      </w:r>
      <w:r w:rsidRPr="00D55F71">
        <w:rPr>
          <w:sz w:val="20"/>
        </w:rPr>
        <w:t>7(10):1096-</w:t>
      </w:r>
      <w:r>
        <w:rPr>
          <w:sz w:val="20"/>
        </w:rPr>
        <w:t>1</w:t>
      </w:r>
      <w:r w:rsidRPr="00D55F71">
        <w:rPr>
          <w:sz w:val="20"/>
        </w:rPr>
        <w:t>103</w:t>
      </w:r>
    </w:p>
    <w:p w14:paraId="0B09EF80" w14:textId="734CB36D" w:rsidR="00F001FF" w:rsidRDefault="00F001FF" w:rsidP="0044414A">
      <w:pPr>
        <w:spacing w:after="120"/>
        <w:rPr>
          <w:sz w:val="20"/>
          <w:szCs w:val="20"/>
        </w:rPr>
      </w:pPr>
      <w:r w:rsidRPr="00926EC6">
        <w:rPr>
          <w:sz w:val="20"/>
          <w:szCs w:val="20"/>
        </w:rPr>
        <w:t xml:space="preserve">Cho SH, Kang SH, Lee YE, Kim SJ, Yoo YB, Bak YS, Kim JB (2015) Distribution of toxin genes and enterotoxins in </w:t>
      </w:r>
      <w:r w:rsidRPr="00926EC6">
        <w:rPr>
          <w:i/>
          <w:sz w:val="20"/>
          <w:szCs w:val="20"/>
        </w:rPr>
        <w:t>Bacillus thuringiensis</w:t>
      </w:r>
      <w:r w:rsidRPr="00926EC6">
        <w:rPr>
          <w:sz w:val="20"/>
          <w:szCs w:val="20"/>
        </w:rPr>
        <w:t xml:space="preserve"> isolated from microbial insecticide products. J Microbiol Biotechnol 25:2043-2048</w:t>
      </w:r>
    </w:p>
    <w:p w14:paraId="608C499E" w14:textId="3B0FC124" w:rsidR="00545BC7" w:rsidRDefault="00545BC7" w:rsidP="0044414A">
      <w:pPr>
        <w:spacing w:after="120"/>
        <w:rPr>
          <w:sz w:val="20"/>
          <w:szCs w:val="20"/>
        </w:rPr>
      </w:pPr>
      <w:r w:rsidRPr="00545BC7">
        <w:rPr>
          <w:sz w:val="20"/>
          <w:szCs w:val="20"/>
        </w:rPr>
        <w:t>Codex (2009) Foods derived from modern biotechnology, 2nd edition. Codex Alimentarius Commission, Joint FAO/WHO Food Standards Programme, Food and Agriculture Organization of the United Nations, Rome.</w:t>
      </w:r>
    </w:p>
    <w:p w14:paraId="68BC7AD8" w14:textId="7F97F0D2" w:rsidR="00977222" w:rsidRDefault="00977222" w:rsidP="0044414A">
      <w:pPr>
        <w:spacing w:after="120"/>
        <w:rPr>
          <w:sz w:val="20"/>
          <w:szCs w:val="20"/>
        </w:rPr>
      </w:pPr>
      <w:r w:rsidRPr="00977222">
        <w:rPr>
          <w:sz w:val="20"/>
          <w:szCs w:val="20"/>
        </w:rPr>
        <w:t>Delaney B, Astwood JD, Cunny H, Eichen Conn R, Herouet-Guicheney C, MacIntosh S, Meyer LS, Privalle LS, Gao Y, Mattsson J, Levine M, ILSI (2008) Evaluation of protein safety in the context of agricultural biotechnology. Food Chem Toxicol 46:S71-S97</w:t>
      </w:r>
    </w:p>
    <w:p w14:paraId="02FEA041" w14:textId="3CEB4C97" w:rsidR="00545BC7" w:rsidRDefault="00545BC7" w:rsidP="0044414A">
      <w:pPr>
        <w:spacing w:after="120"/>
        <w:rPr>
          <w:sz w:val="20"/>
          <w:szCs w:val="20"/>
        </w:rPr>
      </w:pPr>
      <w:r w:rsidRPr="00545BC7">
        <w:rPr>
          <w:sz w:val="20"/>
          <w:szCs w:val="20"/>
        </w:rPr>
        <w:t>Emanuelsson O, Nielsen H, Heijne G von (1999) ChloroP, a neural network-based method for predicting chloroplast transit peptides and their cleavage sites. Protein Science 8:978-984</w:t>
      </w:r>
    </w:p>
    <w:p w14:paraId="0CB52CE4" w14:textId="60F2A5A3" w:rsidR="003D31F6" w:rsidRDefault="003D31F6" w:rsidP="0044414A">
      <w:pPr>
        <w:spacing w:after="120"/>
        <w:rPr>
          <w:rStyle w:val="Hyperlink"/>
          <w:sz w:val="20"/>
          <w:szCs w:val="20"/>
        </w:rPr>
      </w:pPr>
      <w:r w:rsidRPr="0056238E">
        <w:rPr>
          <w:sz w:val="20"/>
          <w:szCs w:val="20"/>
        </w:rPr>
        <w:t>FSANZ (2011) Application A1051 - Food derived from herbicide-tolerant soybean line FG72. Report prepared by Food Standards Australia New Zealand.</w:t>
      </w:r>
      <w:r>
        <w:rPr>
          <w:sz w:val="20"/>
          <w:szCs w:val="20"/>
        </w:rPr>
        <w:t xml:space="preserve"> </w:t>
      </w:r>
      <w:hyperlink r:id="rId19" w:history="1">
        <w:r w:rsidRPr="00E37E72">
          <w:rPr>
            <w:rStyle w:val="Hyperlink"/>
            <w:sz w:val="20"/>
            <w:szCs w:val="20"/>
          </w:rPr>
          <w:t>http://www.foodstandards.gov.au/code/applications/pages/applicationa1051food4902.aspx</w:t>
        </w:r>
      </w:hyperlink>
    </w:p>
    <w:p w14:paraId="63AC831C" w14:textId="02B7ED92" w:rsidR="000547B3" w:rsidRPr="00B97002" w:rsidRDefault="000547B3" w:rsidP="0044414A">
      <w:pPr>
        <w:spacing w:after="120"/>
        <w:rPr>
          <w:sz w:val="20"/>
          <w:szCs w:val="20"/>
        </w:rPr>
      </w:pPr>
      <w:r>
        <w:rPr>
          <w:sz w:val="20"/>
          <w:szCs w:val="20"/>
        </w:rPr>
        <w:t xml:space="preserve">FSANZ (2018) Application A1147 - </w:t>
      </w:r>
      <w:r w:rsidRPr="000547B3">
        <w:rPr>
          <w:sz w:val="20"/>
          <w:szCs w:val="20"/>
        </w:rPr>
        <w:t>Food derived from Herbicide-tolerant Cotton Line GHB811</w:t>
      </w:r>
      <w:r>
        <w:rPr>
          <w:sz w:val="20"/>
          <w:szCs w:val="20"/>
        </w:rPr>
        <w:t xml:space="preserve">. </w:t>
      </w:r>
      <w:r w:rsidRPr="0056238E">
        <w:rPr>
          <w:sz w:val="20"/>
          <w:szCs w:val="20"/>
        </w:rPr>
        <w:t>Report prepared by Food Standards Australia New Zealand.</w:t>
      </w:r>
      <w:r>
        <w:rPr>
          <w:sz w:val="20"/>
          <w:szCs w:val="20"/>
        </w:rPr>
        <w:t xml:space="preserve"> </w:t>
      </w:r>
      <w:hyperlink r:id="rId20" w:history="1">
        <w:r w:rsidRPr="004E5984">
          <w:rPr>
            <w:rStyle w:val="Hyperlink"/>
            <w:sz w:val="20"/>
            <w:szCs w:val="20"/>
          </w:rPr>
          <w:t>https://www.foodstandards.gov.au/code/applications/Pages/A1147.aspx</w:t>
        </w:r>
      </w:hyperlink>
      <w:r>
        <w:rPr>
          <w:sz w:val="20"/>
          <w:szCs w:val="20"/>
        </w:rPr>
        <w:t xml:space="preserve"> </w:t>
      </w:r>
    </w:p>
    <w:p w14:paraId="6026B263" w14:textId="6A00F8EB" w:rsidR="00215F5A" w:rsidRDefault="00215F5A" w:rsidP="00B97002">
      <w:pPr>
        <w:spacing w:after="120"/>
        <w:rPr>
          <w:sz w:val="20"/>
          <w:szCs w:val="20"/>
        </w:rPr>
      </w:pPr>
      <w:r>
        <w:rPr>
          <w:sz w:val="20"/>
          <w:szCs w:val="20"/>
        </w:rPr>
        <w:t>GRDC (2016) Soybeans: Northern region. GrowNotes.</w:t>
      </w:r>
      <w:r w:rsidR="007E1D98">
        <w:rPr>
          <w:sz w:val="20"/>
          <w:szCs w:val="20"/>
        </w:rPr>
        <w:t xml:space="preserve"> Grains Research and Development Corporation</w:t>
      </w:r>
      <w:r w:rsidR="009C4B24">
        <w:rPr>
          <w:sz w:val="20"/>
          <w:szCs w:val="20"/>
        </w:rPr>
        <w:t>.</w:t>
      </w:r>
      <w:r>
        <w:rPr>
          <w:sz w:val="20"/>
          <w:szCs w:val="20"/>
        </w:rPr>
        <w:t xml:space="preserve"> </w:t>
      </w:r>
      <w:hyperlink r:id="rId21" w:history="1">
        <w:r w:rsidR="007E1D98" w:rsidRPr="004E5984">
          <w:rPr>
            <w:rStyle w:val="Hyperlink"/>
            <w:sz w:val="20"/>
            <w:szCs w:val="20"/>
          </w:rPr>
          <w:t>https://grdc.com.au/GN-Soybeans-North</w:t>
        </w:r>
      </w:hyperlink>
      <w:r w:rsidR="007E1D98">
        <w:rPr>
          <w:sz w:val="20"/>
          <w:szCs w:val="20"/>
        </w:rPr>
        <w:t xml:space="preserve"> (accessed February 2020)</w:t>
      </w:r>
    </w:p>
    <w:p w14:paraId="37990F21" w14:textId="4630FB54" w:rsidR="00B97002" w:rsidRDefault="00B97002" w:rsidP="00B97002">
      <w:pPr>
        <w:spacing w:after="120"/>
        <w:rPr>
          <w:sz w:val="20"/>
          <w:szCs w:val="20"/>
        </w:rPr>
      </w:pPr>
      <w:r w:rsidRPr="00B97002">
        <w:rPr>
          <w:sz w:val="20"/>
          <w:szCs w:val="20"/>
        </w:rPr>
        <w:t>Grefen C, Donald N, Hashimoto K, Kudla J, Schumacher K, Blatt MR</w:t>
      </w:r>
      <w:r>
        <w:rPr>
          <w:sz w:val="20"/>
          <w:szCs w:val="20"/>
        </w:rPr>
        <w:t xml:space="preserve"> </w:t>
      </w:r>
      <w:r w:rsidRPr="00B97002">
        <w:rPr>
          <w:sz w:val="20"/>
          <w:szCs w:val="20"/>
        </w:rPr>
        <w:t>(2010) A ubiquitin-10 promoter-based vector set for fluorescent protein</w:t>
      </w:r>
      <w:r>
        <w:rPr>
          <w:sz w:val="20"/>
          <w:szCs w:val="20"/>
        </w:rPr>
        <w:t xml:space="preserve"> </w:t>
      </w:r>
      <w:r w:rsidRPr="00B97002">
        <w:rPr>
          <w:sz w:val="20"/>
          <w:szCs w:val="20"/>
        </w:rPr>
        <w:t>tagging facilitates temporal stability and native protein distribution in</w:t>
      </w:r>
      <w:r>
        <w:rPr>
          <w:sz w:val="20"/>
          <w:szCs w:val="20"/>
        </w:rPr>
        <w:t xml:space="preserve"> </w:t>
      </w:r>
      <w:r w:rsidRPr="00B97002">
        <w:rPr>
          <w:sz w:val="20"/>
          <w:szCs w:val="20"/>
        </w:rPr>
        <w:t xml:space="preserve">transient and stable expression studies. Plant </w:t>
      </w:r>
      <w:r>
        <w:rPr>
          <w:sz w:val="20"/>
          <w:szCs w:val="20"/>
        </w:rPr>
        <w:t>J</w:t>
      </w:r>
      <w:r w:rsidRPr="00B97002">
        <w:rPr>
          <w:sz w:val="20"/>
          <w:szCs w:val="20"/>
        </w:rPr>
        <w:t xml:space="preserve"> 64(2)</w:t>
      </w:r>
      <w:r>
        <w:rPr>
          <w:sz w:val="20"/>
          <w:szCs w:val="20"/>
        </w:rPr>
        <w:t>:355-365</w:t>
      </w:r>
    </w:p>
    <w:p w14:paraId="2DE6BB62" w14:textId="51FAD160" w:rsidR="005E6B11" w:rsidRDefault="005E6B11" w:rsidP="00B97002">
      <w:pPr>
        <w:spacing w:after="120"/>
        <w:rPr>
          <w:sz w:val="20"/>
          <w:szCs w:val="20"/>
        </w:rPr>
      </w:pPr>
      <w:r w:rsidRPr="005E6B11">
        <w:rPr>
          <w:sz w:val="20"/>
          <w:szCs w:val="20"/>
        </w:rPr>
        <w:t>Griffitts JS, Haslam SM, Yang T, Garczynski SF, Mulloy B, Morris H, Cremer PS, Dell A, Adang MJ, Aroian RV</w:t>
      </w:r>
      <w:r>
        <w:rPr>
          <w:sz w:val="20"/>
          <w:szCs w:val="20"/>
        </w:rPr>
        <w:t xml:space="preserve"> (2005)</w:t>
      </w:r>
      <w:r w:rsidRPr="005E6B11">
        <w:rPr>
          <w:sz w:val="20"/>
          <w:szCs w:val="20"/>
        </w:rPr>
        <w:t xml:space="preserve"> Glycolipids as receptors for </w:t>
      </w:r>
      <w:r w:rsidRPr="005E6B11">
        <w:rPr>
          <w:i/>
          <w:sz w:val="20"/>
          <w:szCs w:val="20"/>
        </w:rPr>
        <w:t>Bacillus thuringiensis</w:t>
      </w:r>
      <w:r w:rsidRPr="005E6B11">
        <w:rPr>
          <w:sz w:val="20"/>
          <w:szCs w:val="20"/>
        </w:rPr>
        <w:t xml:space="preserve"> crystal toxin. Science</w:t>
      </w:r>
      <w:r>
        <w:rPr>
          <w:sz w:val="20"/>
          <w:szCs w:val="20"/>
        </w:rPr>
        <w:t xml:space="preserve"> </w:t>
      </w:r>
      <w:r w:rsidRPr="005E6B11">
        <w:rPr>
          <w:sz w:val="20"/>
          <w:szCs w:val="20"/>
        </w:rPr>
        <w:t>307(5711):922-</w:t>
      </w:r>
      <w:r>
        <w:rPr>
          <w:sz w:val="20"/>
          <w:szCs w:val="20"/>
        </w:rPr>
        <w:t>92</w:t>
      </w:r>
      <w:r w:rsidRPr="005E6B11">
        <w:rPr>
          <w:sz w:val="20"/>
          <w:szCs w:val="20"/>
        </w:rPr>
        <w:t>5</w:t>
      </w:r>
    </w:p>
    <w:p w14:paraId="1E3F3854" w14:textId="595230B7" w:rsidR="003410CF" w:rsidRDefault="003410CF" w:rsidP="00B97002">
      <w:pPr>
        <w:spacing w:after="120"/>
        <w:rPr>
          <w:sz w:val="20"/>
          <w:szCs w:val="20"/>
        </w:rPr>
      </w:pPr>
      <w:r w:rsidRPr="003410CF">
        <w:rPr>
          <w:sz w:val="20"/>
          <w:szCs w:val="20"/>
        </w:rPr>
        <w:t>Hoekema A, Hirsch P, Hooykaas P</w:t>
      </w:r>
      <w:r w:rsidR="00545BC7">
        <w:rPr>
          <w:sz w:val="20"/>
          <w:szCs w:val="20"/>
        </w:rPr>
        <w:t>, Schilperoot RA</w:t>
      </w:r>
      <w:r w:rsidRPr="003410CF">
        <w:rPr>
          <w:sz w:val="20"/>
          <w:szCs w:val="20"/>
        </w:rPr>
        <w:t xml:space="preserve"> </w:t>
      </w:r>
      <w:r>
        <w:rPr>
          <w:sz w:val="20"/>
          <w:szCs w:val="20"/>
        </w:rPr>
        <w:t>(1983)</w:t>
      </w:r>
      <w:r w:rsidRPr="003410CF">
        <w:rPr>
          <w:sz w:val="20"/>
          <w:szCs w:val="20"/>
        </w:rPr>
        <w:t xml:space="preserve"> A binary plant vector strategy based on separation of vir- and T-region of the </w:t>
      </w:r>
      <w:r w:rsidRPr="003410CF">
        <w:rPr>
          <w:i/>
          <w:sz w:val="20"/>
          <w:szCs w:val="20"/>
        </w:rPr>
        <w:t>Agrobacterium tumefaciens</w:t>
      </w:r>
      <w:r w:rsidRPr="003410CF">
        <w:rPr>
          <w:sz w:val="20"/>
          <w:szCs w:val="20"/>
        </w:rPr>
        <w:t xml:space="preserve"> Ti-plasmid. Nature 303</w:t>
      </w:r>
      <w:r w:rsidR="00545BC7">
        <w:rPr>
          <w:sz w:val="20"/>
          <w:szCs w:val="20"/>
        </w:rPr>
        <w:t>:</w:t>
      </w:r>
      <w:r w:rsidRPr="003410CF">
        <w:rPr>
          <w:sz w:val="20"/>
          <w:szCs w:val="20"/>
        </w:rPr>
        <w:t>179–180</w:t>
      </w:r>
    </w:p>
    <w:p w14:paraId="257888DA" w14:textId="3CE4513C" w:rsidR="008B7B1D" w:rsidRDefault="008B7B1D" w:rsidP="00B97002">
      <w:pPr>
        <w:spacing w:after="120"/>
        <w:rPr>
          <w:sz w:val="20"/>
          <w:szCs w:val="20"/>
        </w:rPr>
      </w:pPr>
      <w:r w:rsidRPr="008B7B1D">
        <w:rPr>
          <w:sz w:val="20"/>
          <w:szCs w:val="20"/>
        </w:rPr>
        <w:t xml:space="preserve">Huffman DL, </w:t>
      </w:r>
      <w:r w:rsidR="00594BCE" w:rsidRPr="00594BCE">
        <w:rPr>
          <w:sz w:val="20"/>
          <w:szCs w:val="20"/>
        </w:rPr>
        <w:t>Bisc</w:t>
      </w:r>
      <w:r w:rsidR="00594BCE">
        <w:rPr>
          <w:sz w:val="20"/>
          <w:szCs w:val="20"/>
        </w:rPr>
        <w:t>hof LJ, Griffitts JS, Aroian RV (2004)</w:t>
      </w:r>
      <w:r w:rsidR="00594BCE" w:rsidRPr="00594BCE">
        <w:rPr>
          <w:sz w:val="20"/>
          <w:szCs w:val="20"/>
        </w:rPr>
        <w:t xml:space="preserve"> Pore worms: using </w:t>
      </w:r>
      <w:r w:rsidR="00594BCE" w:rsidRPr="00594BCE">
        <w:rPr>
          <w:i/>
          <w:sz w:val="20"/>
          <w:szCs w:val="20"/>
        </w:rPr>
        <w:t>Caenorhabditis elegans</w:t>
      </w:r>
      <w:r w:rsidR="00594BCE" w:rsidRPr="00594BCE">
        <w:rPr>
          <w:sz w:val="20"/>
          <w:szCs w:val="20"/>
        </w:rPr>
        <w:t xml:space="preserve"> to study how bacterial toxins interact with their target host. Int J Med Microbiol</w:t>
      </w:r>
      <w:r w:rsidR="00594BCE">
        <w:rPr>
          <w:sz w:val="20"/>
          <w:szCs w:val="20"/>
        </w:rPr>
        <w:t xml:space="preserve"> </w:t>
      </w:r>
      <w:r w:rsidR="00594BCE" w:rsidRPr="00594BCE">
        <w:rPr>
          <w:sz w:val="20"/>
          <w:szCs w:val="20"/>
        </w:rPr>
        <w:t>293(7-8):599–607</w:t>
      </w:r>
    </w:p>
    <w:p w14:paraId="1E0D39C6" w14:textId="68A85B43" w:rsidR="00F06061" w:rsidRDefault="00F06061" w:rsidP="00F06061">
      <w:pPr>
        <w:spacing w:after="120"/>
        <w:rPr>
          <w:sz w:val="20"/>
          <w:szCs w:val="20"/>
        </w:rPr>
      </w:pPr>
      <w:r>
        <w:rPr>
          <w:sz w:val="20"/>
          <w:szCs w:val="20"/>
        </w:rPr>
        <w:t xml:space="preserve">ISAAA (2017) </w:t>
      </w:r>
      <w:r w:rsidRPr="00F06061">
        <w:rPr>
          <w:sz w:val="20"/>
          <w:szCs w:val="20"/>
        </w:rPr>
        <w:t>Global Status of Commercialized Biotech/GM Crops in 2017: Biotech Crop Adoption</w:t>
      </w:r>
      <w:r>
        <w:rPr>
          <w:sz w:val="20"/>
          <w:szCs w:val="20"/>
        </w:rPr>
        <w:t xml:space="preserve"> </w:t>
      </w:r>
      <w:r w:rsidRPr="00F06061">
        <w:rPr>
          <w:sz w:val="20"/>
          <w:szCs w:val="20"/>
        </w:rPr>
        <w:t>Surges as Economic Benefits Accumulate in 22 Years. The International Service for the Acquisition of Agri-biotech Applications Brief No. 53. ISAAA: Ithaca, NY.</w:t>
      </w:r>
    </w:p>
    <w:p w14:paraId="0D4D1473" w14:textId="2981BFE3" w:rsidR="00594BCE" w:rsidRPr="00B97002" w:rsidRDefault="00594BCE" w:rsidP="00B97002">
      <w:pPr>
        <w:spacing w:after="120"/>
        <w:rPr>
          <w:sz w:val="20"/>
          <w:szCs w:val="20"/>
        </w:rPr>
      </w:pPr>
      <w:r w:rsidRPr="00594BCE">
        <w:rPr>
          <w:sz w:val="20"/>
          <w:szCs w:val="20"/>
        </w:rPr>
        <w:t>Jurat-Fuentes JL, Crickmore N (2017) Specificity determinants for Cry insecticidal proteins: Insights from their mode of action. J Invertebr Pathol 142:5-10</w:t>
      </w:r>
    </w:p>
    <w:p w14:paraId="104FCAAC" w14:textId="27E6CFEC" w:rsidR="00F001FF" w:rsidRDefault="00F001FF" w:rsidP="0044414A">
      <w:pPr>
        <w:spacing w:after="120"/>
        <w:rPr>
          <w:sz w:val="20"/>
          <w:szCs w:val="20"/>
        </w:rPr>
      </w:pPr>
      <w:r w:rsidRPr="00B97002">
        <w:rPr>
          <w:sz w:val="20"/>
          <w:szCs w:val="20"/>
        </w:rPr>
        <w:t xml:space="preserve">Kabaluk JT, Svircev AM, Goettal MS, Woo SG (eds) (2010) Use and regulation of microbial pesticides in representative jurisdictions worldwide. International Organization for Biological Control of Noxious Animals and Plants. </w:t>
      </w:r>
      <w:hyperlink r:id="rId22" w:history="1">
        <w:r w:rsidRPr="00B97002">
          <w:rPr>
            <w:rStyle w:val="Hyperlink"/>
            <w:sz w:val="20"/>
            <w:szCs w:val="20"/>
          </w:rPr>
          <w:t>http://www.iobc-global.org/download/Microbial_Regulation_Book_Kabaluk _et_ al_2010.pdf</w:t>
        </w:r>
      </w:hyperlink>
      <w:r w:rsidRPr="00B97002">
        <w:rPr>
          <w:sz w:val="20"/>
          <w:szCs w:val="20"/>
        </w:rPr>
        <w:t xml:space="preserve"> (accessed February 2020</w:t>
      </w:r>
      <w:r w:rsidRPr="00926EC6">
        <w:rPr>
          <w:sz w:val="20"/>
          <w:szCs w:val="20"/>
        </w:rPr>
        <w:t>)</w:t>
      </w:r>
    </w:p>
    <w:p w14:paraId="5CC35272" w14:textId="31A0AA4B" w:rsidR="00B97002" w:rsidRDefault="00B97002" w:rsidP="00B97002">
      <w:pPr>
        <w:spacing w:after="120"/>
        <w:rPr>
          <w:sz w:val="20"/>
          <w:szCs w:val="20"/>
        </w:rPr>
      </w:pPr>
      <w:r w:rsidRPr="00B97002">
        <w:rPr>
          <w:sz w:val="20"/>
          <w:szCs w:val="20"/>
        </w:rPr>
        <w:t>Kay R, Chan A, Daly M, McPherson J (1987) Duplication of CaMV 35S</w:t>
      </w:r>
      <w:r>
        <w:rPr>
          <w:sz w:val="20"/>
          <w:szCs w:val="20"/>
        </w:rPr>
        <w:t xml:space="preserve"> p</w:t>
      </w:r>
      <w:r w:rsidRPr="00B97002">
        <w:rPr>
          <w:sz w:val="20"/>
          <w:szCs w:val="20"/>
        </w:rPr>
        <w:t xml:space="preserve">romoter </w:t>
      </w:r>
      <w:r>
        <w:rPr>
          <w:sz w:val="20"/>
          <w:szCs w:val="20"/>
        </w:rPr>
        <w:t>se</w:t>
      </w:r>
      <w:r w:rsidRPr="00B97002">
        <w:rPr>
          <w:sz w:val="20"/>
          <w:szCs w:val="20"/>
        </w:rPr>
        <w:t xml:space="preserve">quences </w:t>
      </w:r>
      <w:r>
        <w:rPr>
          <w:sz w:val="20"/>
          <w:szCs w:val="20"/>
        </w:rPr>
        <w:t>c</w:t>
      </w:r>
      <w:r w:rsidRPr="00B97002">
        <w:rPr>
          <w:sz w:val="20"/>
          <w:szCs w:val="20"/>
        </w:rPr>
        <w:t xml:space="preserve">reates a </w:t>
      </w:r>
      <w:r>
        <w:rPr>
          <w:sz w:val="20"/>
          <w:szCs w:val="20"/>
        </w:rPr>
        <w:t>s</w:t>
      </w:r>
      <w:r w:rsidRPr="00B97002">
        <w:rPr>
          <w:sz w:val="20"/>
          <w:szCs w:val="20"/>
        </w:rPr>
        <w:t xml:space="preserve">trong </w:t>
      </w:r>
      <w:r>
        <w:rPr>
          <w:sz w:val="20"/>
          <w:szCs w:val="20"/>
        </w:rPr>
        <w:t>e</w:t>
      </w:r>
      <w:r w:rsidRPr="00B97002">
        <w:rPr>
          <w:sz w:val="20"/>
          <w:szCs w:val="20"/>
        </w:rPr>
        <w:t xml:space="preserve">nhancer for </w:t>
      </w:r>
      <w:r>
        <w:rPr>
          <w:sz w:val="20"/>
          <w:szCs w:val="20"/>
        </w:rPr>
        <w:t>p</w:t>
      </w:r>
      <w:r w:rsidRPr="00B97002">
        <w:rPr>
          <w:sz w:val="20"/>
          <w:szCs w:val="20"/>
        </w:rPr>
        <w:t xml:space="preserve">lant </w:t>
      </w:r>
      <w:r>
        <w:rPr>
          <w:sz w:val="20"/>
          <w:szCs w:val="20"/>
        </w:rPr>
        <w:t xml:space="preserve">genes. </w:t>
      </w:r>
      <w:r w:rsidRPr="00B97002">
        <w:rPr>
          <w:sz w:val="20"/>
          <w:szCs w:val="20"/>
        </w:rPr>
        <w:t>Science 236(4806)</w:t>
      </w:r>
      <w:r>
        <w:rPr>
          <w:sz w:val="20"/>
          <w:szCs w:val="20"/>
        </w:rPr>
        <w:t>:1299-1302</w:t>
      </w:r>
    </w:p>
    <w:p w14:paraId="21C5D1C5" w14:textId="458378F2" w:rsidR="00827916" w:rsidRDefault="00827916" w:rsidP="0044414A">
      <w:pPr>
        <w:spacing w:after="120"/>
        <w:rPr>
          <w:sz w:val="20"/>
          <w:szCs w:val="20"/>
        </w:rPr>
      </w:pPr>
      <w:r w:rsidRPr="005A385E">
        <w:rPr>
          <w:sz w:val="20"/>
          <w:szCs w:val="20"/>
        </w:rPr>
        <w:t>Lebrun M, Leroux B, Sailland A (1996) Chimeric gene for the transformation of plants (</w:t>
      </w:r>
      <w:r>
        <w:rPr>
          <w:sz w:val="20"/>
          <w:szCs w:val="20"/>
        </w:rPr>
        <w:t xml:space="preserve">patent </w:t>
      </w:r>
      <w:r w:rsidRPr="005A385E">
        <w:rPr>
          <w:sz w:val="20"/>
          <w:szCs w:val="20"/>
        </w:rPr>
        <w:t>US5510471)</w:t>
      </w:r>
    </w:p>
    <w:p w14:paraId="4254F51D" w14:textId="01FC3B2B" w:rsidR="00D36458" w:rsidRDefault="00D36458" w:rsidP="00D36458">
      <w:pPr>
        <w:spacing w:after="120"/>
        <w:rPr>
          <w:sz w:val="20"/>
          <w:szCs w:val="20"/>
        </w:rPr>
      </w:pPr>
      <w:r>
        <w:rPr>
          <w:sz w:val="20"/>
          <w:szCs w:val="20"/>
        </w:rPr>
        <w:t>Little JP,</w:t>
      </w:r>
      <w:r w:rsidRPr="0090335A">
        <w:rPr>
          <w:sz w:val="20"/>
          <w:szCs w:val="20"/>
        </w:rPr>
        <w:t xml:space="preserve"> Pallett KE </w:t>
      </w:r>
      <w:r>
        <w:rPr>
          <w:sz w:val="20"/>
          <w:szCs w:val="20"/>
        </w:rPr>
        <w:t>(</w:t>
      </w:r>
      <w:r w:rsidRPr="0090335A">
        <w:rPr>
          <w:sz w:val="20"/>
          <w:szCs w:val="20"/>
        </w:rPr>
        <w:t>2003</w:t>
      </w:r>
      <w:r>
        <w:rPr>
          <w:sz w:val="20"/>
          <w:szCs w:val="20"/>
        </w:rPr>
        <w:t>)</w:t>
      </w:r>
      <w:r w:rsidRPr="0090335A">
        <w:rPr>
          <w:sz w:val="20"/>
          <w:szCs w:val="20"/>
        </w:rPr>
        <w:t xml:space="preserve"> Herbicides, Inhibiting 4-Hydroxyphenylpyruvate Dioxygenase (HPPD). Encyclopedia of Agrochemicals</w:t>
      </w:r>
    </w:p>
    <w:p w14:paraId="4476996B" w14:textId="7327B482" w:rsidR="00A3160A" w:rsidRDefault="00A3160A" w:rsidP="00D36458">
      <w:pPr>
        <w:spacing w:after="120"/>
        <w:rPr>
          <w:sz w:val="20"/>
          <w:szCs w:val="20"/>
        </w:rPr>
      </w:pPr>
      <w:r w:rsidRPr="00A3160A">
        <w:rPr>
          <w:sz w:val="20"/>
          <w:szCs w:val="20"/>
        </w:rPr>
        <w:t>Marroquin LD, Elyassnia D, Griffi</w:t>
      </w:r>
      <w:r>
        <w:rPr>
          <w:sz w:val="20"/>
          <w:szCs w:val="20"/>
        </w:rPr>
        <w:t>tts JS, Feitelson JS, Aroian RV (2000)</w:t>
      </w:r>
      <w:r w:rsidRPr="00A3160A">
        <w:rPr>
          <w:sz w:val="20"/>
          <w:szCs w:val="20"/>
        </w:rPr>
        <w:t xml:space="preserve"> Bacillus thuringiensis (Bt) toxin susceptibility and isolation of resistance mutants in the nematode </w:t>
      </w:r>
      <w:r w:rsidRPr="00A3160A">
        <w:rPr>
          <w:i/>
          <w:sz w:val="20"/>
          <w:szCs w:val="20"/>
        </w:rPr>
        <w:t>Caenorhabditis elegans</w:t>
      </w:r>
      <w:r w:rsidRPr="00A3160A">
        <w:rPr>
          <w:sz w:val="20"/>
          <w:szCs w:val="20"/>
        </w:rPr>
        <w:t>. Genetics 155(4):1693-</w:t>
      </w:r>
      <w:r>
        <w:rPr>
          <w:sz w:val="20"/>
          <w:szCs w:val="20"/>
        </w:rPr>
        <w:t>169</w:t>
      </w:r>
      <w:r w:rsidRPr="00A3160A">
        <w:rPr>
          <w:sz w:val="20"/>
          <w:szCs w:val="20"/>
        </w:rPr>
        <w:t>9</w:t>
      </w:r>
    </w:p>
    <w:p w14:paraId="148F56B0" w14:textId="77777777" w:rsidR="00D36458" w:rsidRDefault="00D36458" w:rsidP="00D36458">
      <w:pPr>
        <w:spacing w:after="120"/>
        <w:rPr>
          <w:sz w:val="20"/>
          <w:szCs w:val="20"/>
        </w:rPr>
      </w:pPr>
      <w:r w:rsidRPr="005A385E">
        <w:rPr>
          <w:sz w:val="20"/>
          <w:szCs w:val="20"/>
        </w:rPr>
        <w:t>Mayfield SP, Nelson T, Taylor WC (1986) The fate of chloroplast proteins during photooxidation in carotenoid-deficient maize leaves. Plant Physiol 82(3):760-764</w:t>
      </w:r>
    </w:p>
    <w:p w14:paraId="056EAA5D" w14:textId="4D860E29" w:rsidR="00D36458" w:rsidRPr="005A385E" w:rsidRDefault="00D36458" w:rsidP="00D36458">
      <w:pPr>
        <w:spacing w:after="120"/>
        <w:rPr>
          <w:sz w:val="20"/>
          <w:szCs w:val="20"/>
        </w:rPr>
      </w:pPr>
      <w:r w:rsidRPr="005A385E">
        <w:rPr>
          <w:sz w:val="20"/>
          <w:szCs w:val="20"/>
        </w:rPr>
        <w:t>Moran GR (2005) 4-hydroxyphenylpyruvate dioxygenase. Arch Biochem Biophys 433:117-128</w:t>
      </w:r>
    </w:p>
    <w:p w14:paraId="5D62BAE2" w14:textId="319C79A3" w:rsidR="00040538" w:rsidRDefault="002C2563" w:rsidP="0044414A">
      <w:pPr>
        <w:spacing w:after="120"/>
        <w:rPr>
          <w:sz w:val="20"/>
          <w:szCs w:val="20"/>
        </w:rPr>
      </w:pPr>
      <w:r w:rsidRPr="00926EC6">
        <w:rPr>
          <w:sz w:val="20"/>
          <w:szCs w:val="20"/>
        </w:rPr>
        <w:t xml:space="preserve">Nexter E, Thomashow LS, Metz M, Gordon M (2002) 100 years of </w:t>
      </w:r>
      <w:r w:rsidRPr="00926EC6">
        <w:rPr>
          <w:i/>
          <w:sz w:val="20"/>
          <w:szCs w:val="20"/>
        </w:rPr>
        <w:t>Bacillus thuringiensis</w:t>
      </w:r>
      <w:r w:rsidRPr="00926EC6">
        <w:rPr>
          <w:sz w:val="20"/>
          <w:szCs w:val="20"/>
        </w:rPr>
        <w:t>: a critical scientific assessment. American Academy of Microbiology.</w:t>
      </w:r>
    </w:p>
    <w:p w14:paraId="5AF32294" w14:textId="62874F35" w:rsidR="002F6316" w:rsidRDefault="002F6316" w:rsidP="0044414A">
      <w:pPr>
        <w:spacing w:after="120"/>
        <w:rPr>
          <w:sz w:val="20"/>
          <w:szCs w:val="20"/>
        </w:rPr>
      </w:pPr>
      <w:r>
        <w:rPr>
          <w:sz w:val="20"/>
          <w:szCs w:val="20"/>
        </w:rPr>
        <w:t>OECD (2001) Guideline for testing of chemicals. Acute oral toxicity – fixed dose procedure. Test Guideline 420</w:t>
      </w:r>
    </w:p>
    <w:p w14:paraId="7BF680A3" w14:textId="7730D241" w:rsidR="002E2F10" w:rsidRDefault="002E2F10" w:rsidP="0044414A">
      <w:pPr>
        <w:spacing w:after="120"/>
        <w:rPr>
          <w:sz w:val="20"/>
          <w:szCs w:val="20"/>
        </w:rPr>
      </w:pPr>
      <w:r>
        <w:rPr>
          <w:sz w:val="20"/>
          <w:szCs w:val="20"/>
        </w:rPr>
        <w:t xml:space="preserve">OECD (2002) </w:t>
      </w:r>
      <w:r w:rsidR="00550BED">
        <w:rPr>
          <w:sz w:val="20"/>
          <w:szCs w:val="20"/>
        </w:rPr>
        <w:t xml:space="preserve">Consensus document on </w:t>
      </w:r>
      <w:r w:rsidR="00550BED" w:rsidRPr="00215F5A">
        <w:rPr>
          <w:sz w:val="20"/>
        </w:rPr>
        <w:t xml:space="preserve">compositional considerations for new varieties of </w:t>
      </w:r>
      <w:r w:rsidR="00550BED">
        <w:rPr>
          <w:sz w:val="20"/>
        </w:rPr>
        <w:t>maize (</w:t>
      </w:r>
      <w:r w:rsidR="00550BED" w:rsidRPr="00550BED">
        <w:rPr>
          <w:i/>
          <w:sz w:val="20"/>
        </w:rPr>
        <w:t>Zea mays</w:t>
      </w:r>
      <w:r w:rsidR="00550BED">
        <w:rPr>
          <w:sz w:val="20"/>
        </w:rPr>
        <w:t xml:space="preserve">): </w:t>
      </w:r>
      <w:r w:rsidR="00550BED" w:rsidRPr="00215F5A">
        <w:rPr>
          <w:sz w:val="20"/>
        </w:rPr>
        <w:t>Key food and feed nutrients, anti</w:t>
      </w:r>
      <w:r w:rsidR="00550BED">
        <w:rPr>
          <w:sz w:val="20"/>
        </w:rPr>
        <w:t>-</w:t>
      </w:r>
      <w:r w:rsidR="00550BED" w:rsidRPr="00215F5A">
        <w:rPr>
          <w:sz w:val="20"/>
        </w:rPr>
        <w:t xml:space="preserve">nutrients, toxicants and </w:t>
      </w:r>
      <w:r w:rsidR="00550BED">
        <w:rPr>
          <w:sz w:val="20"/>
        </w:rPr>
        <w:t>secondary plant metabolites</w:t>
      </w:r>
      <w:r w:rsidR="00550BED" w:rsidRPr="00215F5A">
        <w:rPr>
          <w:sz w:val="20"/>
        </w:rPr>
        <w:t>. ENV/JM/MONO(20</w:t>
      </w:r>
      <w:r w:rsidR="00550BED">
        <w:rPr>
          <w:sz w:val="20"/>
        </w:rPr>
        <w:t>02</w:t>
      </w:r>
      <w:r w:rsidR="00550BED" w:rsidRPr="00215F5A">
        <w:rPr>
          <w:sz w:val="20"/>
        </w:rPr>
        <w:t>)2</w:t>
      </w:r>
      <w:r w:rsidR="00550BED">
        <w:rPr>
          <w:sz w:val="20"/>
        </w:rPr>
        <w:t>5</w:t>
      </w:r>
      <w:r w:rsidR="00550BED" w:rsidRPr="00215F5A">
        <w:rPr>
          <w:sz w:val="20"/>
        </w:rPr>
        <w:t xml:space="preserve">. </w:t>
      </w:r>
      <w:r w:rsidRPr="002F6316">
        <w:rPr>
          <w:sz w:val="20"/>
          <w:szCs w:val="20"/>
        </w:rPr>
        <w:t>Organisation for Economic Cooperation and Development, Paris.</w:t>
      </w:r>
    </w:p>
    <w:p w14:paraId="7A0DBFB4" w14:textId="3D943B50" w:rsidR="002F6316" w:rsidRDefault="002F6316" w:rsidP="0044414A">
      <w:pPr>
        <w:spacing w:after="120"/>
        <w:rPr>
          <w:sz w:val="20"/>
          <w:szCs w:val="20"/>
        </w:rPr>
      </w:pPr>
      <w:r w:rsidRPr="002F6316">
        <w:rPr>
          <w:sz w:val="20"/>
          <w:szCs w:val="20"/>
        </w:rPr>
        <w:t>OECD (2003) Considerations for the Safety Assessment of Animal Feedstuffs Derived from Genetically Modified Plants. Series on the Safety of Novel Foods and Feeds, No. 9. Organisation for Economic Cooperation and Development, Paris.</w:t>
      </w:r>
    </w:p>
    <w:p w14:paraId="0FCE28B0" w14:textId="41C3C6F6" w:rsidR="003410CF" w:rsidRDefault="003410CF" w:rsidP="0044414A">
      <w:pPr>
        <w:spacing w:after="120"/>
        <w:rPr>
          <w:sz w:val="20"/>
          <w:szCs w:val="20"/>
        </w:rPr>
      </w:pPr>
      <w:r w:rsidRPr="003410CF">
        <w:rPr>
          <w:sz w:val="20"/>
          <w:szCs w:val="20"/>
        </w:rPr>
        <w:t>OECD (2004) Consensus document on the biology of Helianthus annuus L. (sunflower). Series on Harmonisation of Regulatory Oversight in Biotechnology, no. 31. Organisation for Economic Co-operation and Development, Paris.</w:t>
      </w:r>
    </w:p>
    <w:p w14:paraId="6BADE461" w14:textId="7079F2A0" w:rsidR="00215F5A" w:rsidRDefault="00215F5A" w:rsidP="00215F5A">
      <w:pPr>
        <w:spacing w:after="120"/>
        <w:rPr>
          <w:sz w:val="20"/>
        </w:rPr>
      </w:pPr>
      <w:r w:rsidRPr="00215F5A">
        <w:rPr>
          <w:sz w:val="20"/>
        </w:rPr>
        <w:t>OECD (2012) Revised consensus document on compositional considerations for new varieties of soybean [</w:t>
      </w:r>
      <w:r w:rsidRPr="00215F5A">
        <w:rPr>
          <w:i/>
          <w:sz w:val="20"/>
        </w:rPr>
        <w:t>Glycine max</w:t>
      </w:r>
      <w:r w:rsidRPr="00215F5A">
        <w:rPr>
          <w:sz w:val="20"/>
        </w:rPr>
        <w:t xml:space="preserve"> (L.) Merr.]: Key food and feed nutrients, anti</w:t>
      </w:r>
      <w:r>
        <w:rPr>
          <w:sz w:val="20"/>
        </w:rPr>
        <w:t>-</w:t>
      </w:r>
      <w:r w:rsidRPr="00215F5A">
        <w:rPr>
          <w:sz w:val="20"/>
        </w:rPr>
        <w:t>nutrients, toxicants and allergens. ENV/JM/MONO(2012)24. Organisation for Economic Co-operation and Development</w:t>
      </w:r>
      <w:r w:rsidR="00545BC7">
        <w:rPr>
          <w:sz w:val="20"/>
        </w:rPr>
        <w:t>, Paris</w:t>
      </w:r>
      <w:r w:rsidRPr="00215F5A">
        <w:rPr>
          <w:sz w:val="20"/>
        </w:rPr>
        <w:t>.</w:t>
      </w:r>
    </w:p>
    <w:p w14:paraId="115DE30F" w14:textId="63C60FD1" w:rsidR="002E2F10" w:rsidRPr="00215F5A" w:rsidRDefault="002E2F10" w:rsidP="00215F5A">
      <w:pPr>
        <w:spacing w:after="120"/>
        <w:rPr>
          <w:sz w:val="20"/>
        </w:rPr>
      </w:pPr>
      <w:r>
        <w:rPr>
          <w:sz w:val="20"/>
        </w:rPr>
        <w:t xml:space="preserve">OGTR (2008) The biology of </w:t>
      </w:r>
      <w:r w:rsidRPr="002E2F10">
        <w:rPr>
          <w:i/>
          <w:sz w:val="20"/>
        </w:rPr>
        <w:t>Zea mays</w:t>
      </w:r>
      <w:r>
        <w:rPr>
          <w:sz w:val="20"/>
        </w:rPr>
        <w:t xml:space="preserve"> L. ssp </w:t>
      </w:r>
      <w:r w:rsidRPr="002E2F10">
        <w:rPr>
          <w:i/>
          <w:sz w:val="20"/>
        </w:rPr>
        <w:t>mays</w:t>
      </w:r>
      <w:r>
        <w:rPr>
          <w:sz w:val="20"/>
        </w:rPr>
        <w:t xml:space="preserve"> (maize or corn). Office of the Gene Technology Regulator. Canberra, ACT</w:t>
      </w:r>
    </w:p>
    <w:p w14:paraId="623494CB" w14:textId="2E4BAA32" w:rsidR="00D36458" w:rsidRDefault="00D36458" w:rsidP="00D36458">
      <w:pPr>
        <w:spacing w:after="120"/>
        <w:rPr>
          <w:sz w:val="20"/>
          <w:szCs w:val="20"/>
        </w:rPr>
      </w:pPr>
      <w:r w:rsidRPr="005A385E">
        <w:rPr>
          <w:sz w:val="20"/>
          <w:szCs w:val="20"/>
        </w:rPr>
        <w:t>Pallett KE, Little JP, Sheekey M, Veerasekaran P (1998) The mode of action of isoxaflutole. I. Physiological effects, metabolism and selectivity. Pesticide Biochemistry and Physiology 62(2):113-124</w:t>
      </w:r>
    </w:p>
    <w:p w14:paraId="27CD1D9A" w14:textId="370B006C" w:rsidR="003410CF" w:rsidRDefault="003410CF" w:rsidP="00D36458">
      <w:pPr>
        <w:spacing w:after="120"/>
        <w:rPr>
          <w:sz w:val="20"/>
          <w:szCs w:val="20"/>
        </w:rPr>
      </w:pPr>
      <w:r w:rsidRPr="00767166">
        <w:rPr>
          <w:sz w:val="20"/>
          <w:szCs w:val="20"/>
        </w:rPr>
        <w:t>Pallett KE, Cramp SM, Little JP, Veerasekaran P, Crudace AJ, Slater AE (2001) Isoxaflutole: the background to its discovery and the basis of its herbicidal properties. Pest Management Science 57:133-142</w:t>
      </w:r>
    </w:p>
    <w:p w14:paraId="0D68413E" w14:textId="30543D15" w:rsidR="00040538" w:rsidRDefault="007E74C1" w:rsidP="00D36458">
      <w:pPr>
        <w:widowControl/>
        <w:autoSpaceDE w:val="0"/>
        <w:autoSpaceDN w:val="0"/>
        <w:adjustRightInd w:val="0"/>
        <w:spacing w:after="120"/>
      </w:pPr>
      <w:r>
        <w:rPr>
          <w:rFonts w:ascii="ArialMT" w:hAnsi="ArialMT" w:cs="ArialMT"/>
          <w:sz w:val="20"/>
          <w:szCs w:val="20"/>
          <w:lang w:eastAsia="en-GB" w:bidi="ar-SA"/>
        </w:rPr>
        <w:t>Porée F, Heinrichs V, Lange G, Laber B, Peters C, Schouten L (2014) HPPD variants and methods of use. (Worldwide patent application WO2014043435A1)</w:t>
      </w:r>
    </w:p>
    <w:p w14:paraId="3432F264" w14:textId="0C136727" w:rsidR="00040538" w:rsidRDefault="002C2563" w:rsidP="0044414A">
      <w:pPr>
        <w:spacing w:after="120"/>
        <w:rPr>
          <w:sz w:val="20"/>
        </w:rPr>
      </w:pPr>
      <w:r w:rsidRPr="00926EC6">
        <w:rPr>
          <w:sz w:val="20"/>
        </w:rPr>
        <w:t xml:space="preserve">Raymond B, Federici BA (2017) In defence of </w:t>
      </w:r>
      <w:r w:rsidRPr="00926EC6">
        <w:rPr>
          <w:i/>
          <w:sz w:val="20"/>
        </w:rPr>
        <w:t>Bacillus thuringiensis</w:t>
      </w:r>
      <w:r w:rsidRPr="00926EC6">
        <w:rPr>
          <w:sz w:val="20"/>
        </w:rPr>
        <w:t>, the safest and most successful microbial insecticide available to humanity—a response to EFSA. FEMS Microbiol Ecol 93(7) e_fix084</w:t>
      </w:r>
    </w:p>
    <w:p w14:paraId="5F690750" w14:textId="4C015D66" w:rsidR="00545BC7" w:rsidRPr="00545BC7" w:rsidRDefault="00545BC7" w:rsidP="0044414A">
      <w:pPr>
        <w:spacing w:after="120"/>
        <w:rPr>
          <w:sz w:val="20"/>
        </w:rPr>
      </w:pPr>
      <w:r w:rsidRPr="00545BC7">
        <w:rPr>
          <w:sz w:val="20"/>
        </w:rPr>
        <w:t>Rowland E, Kim J, Bhuiyan NH, van Wijk KJ (2015) The Arabidopsis chloroplast stromal N-terminome: complexities of amino-terminal protein maturation and stability. Plant Physiol 169(3):1881-1896</w:t>
      </w:r>
    </w:p>
    <w:p w14:paraId="47085656" w14:textId="28C37458" w:rsidR="0044414A" w:rsidRPr="005A385E" w:rsidRDefault="0044414A" w:rsidP="0044414A">
      <w:pPr>
        <w:spacing w:after="120"/>
        <w:rPr>
          <w:sz w:val="20"/>
          <w:szCs w:val="20"/>
        </w:rPr>
      </w:pPr>
      <w:r w:rsidRPr="005A385E">
        <w:rPr>
          <w:sz w:val="20"/>
          <w:szCs w:val="20"/>
        </w:rPr>
        <w:t>Sailland A, Rolland A, Matringe M, Pallett K (2001) DNA sequence of a gene of hydroxy-phenyl pyruvate dioxygenase and production of plants containing a gene of hydroxy-phenyl pyruvate dioxygenase and which are tolerant to certain herbicides</w:t>
      </w:r>
      <w:r w:rsidR="008D5373">
        <w:rPr>
          <w:sz w:val="20"/>
          <w:szCs w:val="20"/>
        </w:rPr>
        <w:t>.</w:t>
      </w:r>
      <w:r w:rsidRPr="005A385E">
        <w:rPr>
          <w:sz w:val="20"/>
          <w:szCs w:val="20"/>
        </w:rPr>
        <w:t xml:space="preserve"> </w:t>
      </w:r>
      <w:r w:rsidR="008D5373">
        <w:rPr>
          <w:sz w:val="20"/>
          <w:szCs w:val="20"/>
        </w:rPr>
        <w:t>P</w:t>
      </w:r>
      <w:r>
        <w:rPr>
          <w:sz w:val="20"/>
          <w:szCs w:val="20"/>
        </w:rPr>
        <w:t xml:space="preserve">atent </w:t>
      </w:r>
      <w:r w:rsidR="008D5373">
        <w:rPr>
          <w:sz w:val="20"/>
          <w:szCs w:val="20"/>
        </w:rPr>
        <w:t>US6268549</w:t>
      </w:r>
    </w:p>
    <w:p w14:paraId="2650A2B7" w14:textId="374701C9" w:rsidR="00040538" w:rsidRDefault="00040538" w:rsidP="0044414A">
      <w:pPr>
        <w:spacing w:after="120"/>
        <w:rPr>
          <w:sz w:val="20"/>
        </w:rPr>
      </w:pPr>
      <w:r w:rsidRPr="00926EC6">
        <w:rPr>
          <w:sz w:val="20"/>
        </w:rPr>
        <w:t>Samples JR, Buettner H (1983) Ocular infection caused by a biological insecticide. J Infect Dis 148:614</w:t>
      </w:r>
    </w:p>
    <w:p w14:paraId="3A1C3ABC" w14:textId="2E45E5E4" w:rsidR="008D5373" w:rsidRDefault="008D5373" w:rsidP="0044414A">
      <w:pPr>
        <w:spacing w:after="120"/>
        <w:rPr>
          <w:sz w:val="20"/>
        </w:rPr>
      </w:pPr>
      <w:r>
        <w:rPr>
          <w:sz w:val="20"/>
        </w:rPr>
        <w:t xml:space="preserve">Sampson KS, Tomso DJ, </w:t>
      </w:r>
      <w:r w:rsidRPr="008D5373">
        <w:rPr>
          <w:sz w:val="20"/>
        </w:rPr>
        <w:t xml:space="preserve">Dumitru </w:t>
      </w:r>
      <w:r>
        <w:rPr>
          <w:sz w:val="20"/>
        </w:rPr>
        <w:t xml:space="preserve">RV (2012) </w:t>
      </w:r>
      <w:r w:rsidRPr="008D5373">
        <w:rPr>
          <w:sz w:val="20"/>
        </w:rPr>
        <w:t>Pesticidal proteins and methods for their use</w:t>
      </w:r>
      <w:r>
        <w:rPr>
          <w:sz w:val="20"/>
        </w:rPr>
        <w:t>. Patent US831900</w:t>
      </w:r>
    </w:p>
    <w:p w14:paraId="4A9134C5" w14:textId="1F1584CC" w:rsidR="00B97002" w:rsidRDefault="00B97002" w:rsidP="00B97002">
      <w:pPr>
        <w:spacing w:after="120"/>
        <w:rPr>
          <w:sz w:val="20"/>
        </w:rPr>
      </w:pPr>
      <w:r w:rsidRPr="00B97002">
        <w:rPr>
          <w:sz w:val="20"/>
        </w:rPr>
        <w:t>Sanfaçon H, Brodmann P, Hohn T</w:t>
      </w:r>
      <w:r>
        <w:rPr>
          <w:sz w:val="20"/>
        </w:rPr>
        <w:t xml:space="preserve"> (1991)</w:t>
      </w:r>
      <w:r w:rsidRPr="00B97002">
        <w:rPr>
          <w:sz w:val="20"/>
        </w:rPr>
        <w:t xml:space="preserve"> A dissection of the</w:t>
      </w:r>
      <w:r>
        <w:rPr>
          <w:sz w:val="20"/>
        </w:rPr>
        <w:t xml:space="preserve"> </w:t>
      </w:r>
      <w:r w:rsidRPr="00B97002">
        <w:rPr>
          <w:sz w:val="20"/>
        </w:rPr>
        <w:t xml:space="preserve">cauliflower mosaic virus polyadenylation signal. Genes </w:t>
      </w:r>
      <w:r>
        <w:rPr>
          <w:sz w:val="20"/>
        </w:rPr>
        <w:t>D</w:t>
      </w:r>
      <w:r w:rsidRPr="00B97002">
        <w:rPr>
          <w:sz w:val="20"/>
        </w:rPr>
        <w:t>ev</w:t>
      </w:r>
      <w:r>
        <w:rPr>
          <w:sz w:val="20"/>
        </w:rPr>
        <w:t xml:space="preserve"> </w:t>
      </w:r>
      <w:r w:rsidRPr="00B97002">
        <w:rPr>
          <w:sz w:val="20"/>
        </w:rPr>
        <w:t>5(1)</w:t>
      </w:r>
      <w:r>
        <w:rPr>
          <w:sz w:val="20"/>
        </w:rPr>
        <w:t>:141-149</w:t>
      </w:r>
    </w:p>
    <w:p w14:paraId="71CA410C" w14:textId="77777777" w:rsidR="00D36458" w:rsidRDefault="0044414A" w:rsidP="00D36458">
      <w:pPr>
        <w:spacing w:after="120"/>
        <w:rPr>
          <w:sz w:val="20"/>
          <w:szCs w:val="20"/>
        </w:rPr>
      </w:pPr>
      <w:r w:rsidRPr="005A385E">
        <w:rPr>
          <w:sz w:val="20"/>
          <w:szCs w:val="20"/>
        </w:rPr>
        <w:t xml:space="preserve">Scales BS, Dickson RP, LiPuma JJ, Huffnagle GB (2014) Microbiology, genomics, and clinical significance of the </w:t>
      </w:r>
      <w:r w:rsidRPr="005A385E">
        <w:rPr>
          <w:i/>
          <w:sz w:val="20"/>
          <w:szCs w:val="20"/>
        </w:rPr>
        <w:t>Pseudomonas fluorescens</w:t>
      </w:r>
      <w:r w:rsidRPr="005A385E">
        <w:rPr>
          <w:sz w:val="20"/>
          <w:szCs w:val="20"/>
        </w:rPr>
        <w:t xml:space="preserve"> species complex, an unappreciated colonizer of humans. Clin Microbiol Rev 27(4):927–48</w:t>
      </w:r>
      <w:r w:rsidR="00D36458" w:rsidRPr="00D36458">
        <w:rPr>
          <w:sz w:val="20"/>
          <w:szCs w:val="20"/>
        </w:rPr>
        <w:t xml:space="preserve"> </w:t>
      </w:r>
    </w:p>
    <w:p w14:paraId="2C7D9A20" w14:textId="4C1C392D" w:rsidR="00D36458" w:rsidRPr="005A385E" w:rsidRDefault="00D36458" w:rsidP="00D36458">
      <w:pPr>
        <w:spacing w:after="120"/>
        <w:rPr>
          <w:sz w:val="20"/>
          <w:szCs w:val="20"/>
        </w:rPr>
      </w:pPr>
      <w:r w:rsidRPr="005A385E">
        <w:rPr>
          <w:sz w:val="20"/>
          <w:szCs w:val="20"/>
        </w:rPr>
        <w:t>Shaner DL (2004) Herbicide safety relative to common targets in plants and mammals. Pest Manag Sci 60(1):17-24</w:t>
      </w:r>
    </w:p>
    <w:p w14:paraId="7BA01762" w14:textId="710EFC0A" w:rsidR="0089561E" w:rsidRDefault="0089561E" w:rsidP="0044414A">
      <w:pPr>
        <w:spacing w:after="120"/>
        <w:rPr>
          <w:sz w:val="20"/>
          <w:szCs w:val="20"/>
        </w:rPr>
      </w:pPr>
      <w:r w:rsidRPr="0089561E">
        <w:rPr>
          <w:sz w:val="20"/>
          <w:szCs w:val="20"/>
        </w:rPr>
        <w:t xml:space="preserve">Strickberger MW </w:t>
      </w:r>
      <w:r>
        <w:rPr>
          <w:sz w:val="20"/>
          <w:szCs w:val="20"/>
        </w:rPr>
        <w:t>(</w:t>
      </w:r>
      <w:r w:rsidRPr="0089561E">
        <w:rPr>
          <w:sz w:val="20"/>
          <w:szCs w:val="20"/>
        </w:rPr>
        <w:t>1976</w:t>
      </w:r>
      <w:r>
        <w:rPr>
          <w:sz w:val="20"/>
          <w:szCs w:val="20"/>
        </w:rPr>
        <w:t>)</w:t>
      </w:r>
      <w:r w:rsidRPr="0089561E">
        <w:rPr>
          <w:sz w:val="20"/>
          <w:szCs w:val="20"/>
        </w:rPr>
        <w:t xml:space="preserve"> Probability and statistical testing in Genetics, 2nd ed. New York: Macmillan </w:t>
      </w:r>
      <w:r w:rsidR="00594BCE">
        <w:rPr>
          <w:sz w:val="20"/>
          <w:szCs w:val="20"/>
        </w:rPr>
        <w:t>Publishing Company. pp. 140-163</w:t>
      </w:r>
    </w:p>
    <w:p w14:paraId="66E80803" w14:textId="0087F307" w:rsidR="00545BC7" w:rsidRDefault="00545BC7" w:rsidP="0044414A">
      <w:pPr>
        <w:spacing w:after="120"/>
        <w:rPr>
          <w:sz w:val="20"/>
          <w:szCs w:val="20"/>
        </w:rPr>
      </w:pPr>
      <w:r w:rsidRPr="00545BC7">
        <w:rPr>
          <w:sz w:val="20"/>
          <w:szCs w:val="20"/>
        </w:rPr>
        <w:t>Thomas K, Aalbers M, Bannon GA, Bartels M, Dearman RJ, Esdaile DJ, Fu T-J, Glatt CM, Hadfield N, Hatzos C, Hefle SL, Heylings JR, Goodman RE, Henry B, Herouet C, Holsapple M, Ladics GS, Landry TD, MacIntosh SC, Rice EA, Privalle LS, Steiner HY, Teshima R, Van Ree R, Woolhiser M, Zawodny J (2004) A multi-laboratory evaluation of a common in vitro pepsin digestion assay protocol used in assessing the safety of novel proteins. Regulatory Toxicology and Pharmacology 39:87–98</w:t>
      </w:r>
    </w:p>
    <w:p w14:paraId="7A831181" w14:textId="6818E150" w:rsidR="002F6316" w:rsidRDefault="002F6316" w:rsidP="0044414A">
      <w:pPr>
        <w:spacing w:after="120"/>
        <w:rPr>
          <w:sz w:val="20"/>
          <w:szCs w:val="20"/>
        </w:rPr>
      </w:pPr>
      <w:r>
        <w:rPr>
          <w:sz w:val="20"/>
          <w:szCs w:val="20"/>
        </w:rPr>
        <w:t xml:space="preserve">US EPA (2002) Health effects test guideline 870.1100 Acute oral toxicity. </w:t>
      </w:r>
    </w:p>
    <w:p w14:paraId="1D88A909" w14:textId="35390E99" w:rsidR="007C5D21" w:rsidRDefault="007C5D21" w:rsidP="0044414A">
      <w:pPr>
        <w:spacing w:after="120"/>
        <w:rPr>
          <w:sz w:val="20"/>
          <w:szCs w:val="20"/>
        </w:rPr>
      </w:pPr>
      <w:r>
        <w:rPr>
          <w:sz w:val="20"/>
          <w:szCs w:val="20"/>
        </w:rPr>
        <w:t>USSEC (2015) The soybean, it’s history and it’s opportunities. US Soy: International Buyers Guide. US Soybean Export Council, St Louis MO</w:t>
      </w:r>
    </w:p>
    <w:p w14:paraId="2FAE1144" w14:textId="737E7258" w:rsidR="00A3160A" w:rsidRPr="00926EC6" w:rsidRDefault="00A3160A" w:rsidP="00594BCE">
      <w:pPr>
        <w:spacing w:after="120"/>
        <w:rPr>
          <w:sz w:val="20"/>
        </w:rPr>
      </w:pPr>
      <w:r w:rsidRPr="00A3160A">
        <w:rPr>
          <w:sz w:val="20"/>
        </w:rPr>
        <w:t>Wei JZ, Hale K, Carta L, Platzer E, Wong C, Fang SC, Aroian RV</w:t>
      </w:r>
      <w:r>
        <w:rPr>
          <w:sz w:val="20"/>
        </w:rPr>
        <w:t xml:space="preserve"> (2003)</w:t>
      </w:r>
      <w:r w:rsidRPr="00A3160A">
        <w:rPr>
          <w:sz w:val="20"/>
        </w:rPr>
        <w:t xml:space="preserve"> </w:t>
      </w:r>
      <w:r w:rsidRPr="00A3160A">
        <w:rPr>
          <w:i/>
          <w:sz w:val="20"/>
        </w:rPr>
        <w:t>Bacillus thuringiensis</w:t>
      </w:r>
      <w:r w:rsidRPr="00A3160A">
        <w:rPr>
          <w:sz w:val="20"/>
        </w:rPr>
        <w:t xml:space="preserve"> crystal proteins that target nematodes. Proc Natl Acad Sci USA</w:t>
      </w:r>
      <w:r w:rsidR="00390773" w:rsidRPr="00A3160A">
        <w:rPr>
          <w:sz w:val="20"/>
        </w:rPr>
        <w:t xml:space="preserve"> </w:t>
      </w:r>
      <w:r w:rsidR="00390773">
        <w:rPr>
          <w:sz w:val="20"/>
        </w:rPr>
        <w:t>100</w:t>
      </w:r>
      <w:r w:rsidRPr="00A3160A">
        <w:rPr>
          <w:sz w:val="20"/>
        </w:rPr>
        <w:t>(5):2760–2765</w:t>
      </w:r>
    </w:p>
    <w:p w14:paraId="51B543E4" w14:textId="2F8FEC91" w:rsidR="002C2563" w:rsidRDefault="002C2563" w:rsidP="0044414A">
      <w:pPr>
        <w:spacing w:after="120"/>
        <w:rPr>
          <w:sz w:val="20"/>
        </w:rPr>
      </w:pPr>
      <w:r w:rsidRPr="00926EC6">
        <w:rPr>
          <w:sz w:val="20"/>
        </w:rPr>
        <w:t xml:space="preserve">WHO (1999) Microbial pest control agent </w:t>
      </w:r>
      <w:r w:rsidRPr="00926EC6">
        <w:rPr>
          <w:i/>
          <w:sz w:val="20"/>
        </w:rPr>
        <w:t>Bacillus thuringiensis</w:t>
      </w:r>
      <w:r w:rsidRPr="00926EC6">
        <w:rPr>
          <w:sz w:val="20"/>
        </w:rPr>
        <w:t>. Environmental Health Criteria 217. Wo</w:t>
      </w:r>
      <w:r w:rsidR="00B97002">
        <w:rPr>
          <w:sz w:val="20"/>
        </w:rPr>
        <w:t>rld health Organization, Geneva</w:t>
      </w:r>
    </w:p>
    <w:p w14:paraId="7B4B35F2" w14:textId="77777777" w:rsidR="00B97002" w:rsidRPr="005A385E" w:rsidRDefault="00B97002" w:rsidP="00B97002">
      <w:pPr>
        <w:spacing w:after="120"/>
        <w:rPr>
          <w:sz w:val="20"/>
          <w:szCs w:val="20"/>
        </w:rPr>
      </w:pPr>
      <w:r w:rsidRPr="005A385E">
        <w:rPr>
          <w:sz w:val="20"/>
          <w:szCs w:val="20"/>
        </w:rPr>
        <w:t>Zambryski P (1988) Basic processes underlying Agrobacterium-mediated DNA transfer to plant cells. Annu Rev Genet 22:1-30</w:t>
      </w:r>
    </w:p>
    <w:sectPr w:rsidR="00B97002" w:rsidRPr="005A385E" w:rsidSect="00B238E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E5BFF" w14:textId="77777777" w:rsidR="00B511DE" w:rsidRDefault="00B511DE">
      <w:r>
        <w:separator/>
      </w:r>
    </w:p>
  </w:endnote>
  <w:endnote w:type="continuationSeparator" w:id="0">
    <w:p w14:paraId="0BAA50C9" w14:textId="77777777" w:rsidR="00B511DE" w:rsidRDefault="00B5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ArialMT">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2E264" w14:textId="77777777" w:rsidR="00B511DE" w:rsidRDefault="00B511DE">
      <w:r>
        <w:separator/>
      </w:r>
    </w:p>
  </w:footnote>
  <w:footnote w:type="continuationSeparator" w:id="0">
    <w:p w14:paraId="6D38B8B9" w14:textId="77777777" w:rsidR="00B511DE" w:rsidRDefault="00B511DE">
      <w:r>
        <w:continuationSeparator/>
      </w:r>
    </w:p>
  </w:footnote>
  <w:footnote w:id="1">
    <w:p w14:paraId="5BF19A9C" w14:textId="2F3FFEEF" w:rsidR="00691AA5" w:rsidRPr="009C4B24" w:rsidRDefault="00691AA5">
      <w:pPr>
        <w:pStyle w:val="FootnoteText"/>
        <w:rPr>
          <w:lang w:val="en-AU"/>
        </w:rPr>
      </w:pPr>
      <w:r>
        <w:rPr>
          <w:rStyle w:val="FootnoteReference"/>
        </w:rPr>
        <w:footnoteRef/>
      </w:r>
      <w:r>
        <w:t xml:space="preserve"> </w:t>
      </w:r>
      <w:hyperlink r:id="rId1" w:anchor="data" w:history="1">
        <w:r w:rsidRPr="009C4B24">
          <w:rPr>
            <w:rStyle w:val="Hyperlink"/>
            <w:sz w:val="18"/>
          </w:rPr>
          <w:t>http://www.fao.org/faostat/en/#data</w:t>
        </w:r>
      </w:hyperlink>
      <w:r>
        <w:t xml:space="preserve"> </w:t>
      </w:r>
    </w:p>
  </w:footnote>
  <w:footnote w:id="2">
    <w:p w14:paraId="30C2938D" w14:textId="0DD66264" w:rsidR="00691AA5" w:rsidRPr="009C4B24" w:rsidRDefault="00691AA5">
      <w:pPr>
        <w:pStyle w:val="FootnoteText"/>
        <w:rPr>
          <w:lang w:val="en-AU"/>
        </w:rPr>
      </w:pPr>
      <w:r>
        <w:rPr>
          <w:rStyle w:val="FootnoteReference"/>
        </w:rPr>
        <w:footnoteRef/>
      </w:r>
      <w:r>
        <w:t xml:space="preserve"> </w:t>
      </w:r>
      <w:hyperlink r:id="rId2" w:history="1">
        <w:r w:rsidRPr="009C4B24">
          <w:rPr>
            <w:rStyle w:val="Hyperlink"/>
            <w:sz w:val="18"/>
          </w:rPr>
          <w:t>https://www.fas.usda.gov/commodities/soybeans</w:t>
        </w:r>
      </w:hyperlink>
      <w:r>
        <w:t xml:space="preserve"> </w:t>
      </w:r>
    </w:p>
  </w:footnote>
  <w:footnote w:id="3">
    <w:p w14:paraId="400E51D1" w14:textId="77777777" w:rsidR="00691AA5" w:rsidRPr="00E501A3" w:rsidRDefault="00691AA5" w:rsidP="00F463EC">
      <w:pPr>
        <w:pStyle w:val="FootnoteText"/>
        <w:rPr>
          <w:lang w:val="en-AU"/>
        </w:rPr>
      </w:pPr>
      <w:r>
        <w:rPr>
          <w:rStyle w:val="FootnoteReference"/>
        </w:rPr>
        <w:footnoteRef/>
      </w:r>
      <w:r>
        <w:t xml:space="preserve"> </w:t>
      </w:r>
      <w:hyperlink r:id="rId3" w:history="1">
        <w:r w:rsidRPr="0006456D">
          <w:rPr>
            <w:rStyle w:val="Hyperlink"/>
            <w:u w:val="none"/>
          </w:rPr>
          <w:t>http://comparedatabase.org/database/</w:t>
        </w:r>
      </w:hyperlink>
      <w:r>
        <w:t xml:space="preserve"> </w:t>
      </w:r>
    </w:p>
  </w:footnote>
  <w:footnote w:id="4">
    <w:p w14:paraId="45FC3C79" w14:textId="3B8A1948" w:rsidR="00691AA5" w:rsidRPr="00A4529C" w:rsidRDefault="00691AA5" w:rsidP="00FB2384">
      <w:pPr>
        <w:pStyle w:val="FootnoteText"/>
        <w:rPr>
          <w:lang w:val="en-AU"/>
        </w:rPr>
      </w:pPr>
      <w:r>
        <w:rPr>
          <w:rStyle w:val="FootnoteReference"/>
        </w:rPr>
        <w:footnoteRef/>
      </w:r>
      <w:r>
        <w:t xml:space="preserve"> </w:t>
      </w:r>
      <w:r w:rsidRPr="00C242CA">
        <w:rPr>
          <w:sz w:val="18"/>
        </w:rPr>
        <w:t>Field trial sites</w:t>
      </w:r>
      <w:r>
        <w:rPr>
          <w:sz w:val="18"/>
        </w:rPr>
        <w:t xml:space="preserve"> for testing Cry14Ab1 expression levels</w:t>
      </w:r>
      <w:r w:rsidRPr="00C242CA">
        <w:rPr>
          <w:sz w:val="18"/>
        </w:rPr>
        <w:t xml:space="preserve">: </w:t>
      </w:r>
      <w:r>
        <w:rPr>
          <w:sz w:val="18"/>
        </w:rPr>
        <w:t>Kimballton; IA; Fisk, MO, US.</w:t>
      </w:r>
    </w:p>
  </w:footnote>
  <w:footnote w:id="5">
    <w:p w14:paraId="4F873830" w14:textId="7BAA8050" w:rsidR="00691AA5" w:rsidRPr="00DA08EC" w:rsidRDefault="00691AA5" w:rsidP="00977222">
      <w:pPr>
        <w:pStyle w:val="FootnoteText"/>
        <w:rPr>
          <w:lang w:val="en-AU"/>
        </w:rPr>
      </w:pPr>
      <w:r>
        <w:rPr>
          <w:rStyle w:val="FootnoteReference"/>
        </w:rPr>
        <w:footnoteRef/>
      </w:r>
      <w:r>
        <w:t xml:space="preserve"> The</w:t>
      </w:r>
      <w:r w:rsidRPr="00C242CA">
        <w:rPr>
          <w:sz w:val="18"/>
        </w:rPr>
        <w:t xml:space="preserve"> location of the eight field trial sites: </w:t>
      </w:r>
      <w:r w:rsidRPr="00C242CA">
        <w:rPr>
          <w:sz w:val="18"/>
          <w:lang w:val="en-AU"/>
        </w:rPr>
        <w:t>Richland, IA; York, NE; Elk Horn, IA; Stewardson, IL; Germansville, PA; Fisk, MO; Larned, KS; Carlyle, 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770F"/>
    <w:multiLevelType w:val="hybridMultilevel"/>
    <w:tmpl w:val="AE0C6D70"/>
    <w:lvl w:ilvl="0" w:tplc="F91C73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A4B08"/>
    <w:multiLevelType w:val="hybridMultilevel"/>
    <w:tmpl w:val="700E4C54"/>
    <w:lvl w:ilvl="0" w:tplc="5184C9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CC7F8B"/>
    <w:multiLevelType w:val="hybridMultilevel"/>
    <w:tmpl w:val="B000A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4A821BB4"/>
    <w:multiLevelType w:val="hybridMultilevel"/>
    <w:tmpl w:val="FEE2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A3024D"/>
    <w:multiLevelType w:val="hybridMultilevel"/>
    <w:tmpl w:val="3EB4DE96"/>
    <w:lvl w:ilvl="0" w:tplc="1152FA7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0B61CD"/>
    <w:multiLevelType w:val="hybridMultilevel"/>
    <w:tmpl w:val="3EB8A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8"/>
  </w:num>
  <w:num w:numId="6">
    <w:abstractNumId w:val="4"/>
  </w:num>
  <w:num w:numId="7">
    <w:abstractNumId w:val="1"/>
  </w:num>
  <w:num w:numId="8">
    <w:abstractNumId w:val="6"/>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29C"/>
    <w:rsid w:val="0000247B"/>
    <w:rsid w:val="0000469B"/>
    <w:rsid w:val="00015A41"/>
    <w:rsid w:val="00017023"/>
    <w:rsid w:val="000222F0"/>
    <w:rsid w:val="00035FF3"/>
    <w:rsid w:val="0003767D"/>
    <w:rsid w:val="00040538"/>
    <w:rsid w:val="00051021"/>
    <w:rsid w:val="00051ED9"/>
    <w:rsid w:val="00052F29"/>
    <w:rsid w:val="000547B3"/>
    <w:rsid w:val="00057181"/>
    <w:rsid w:val="00061D6B"/>
    <w:rsid w:val="00063C2C"/>
    <w:rsid w:val="0006473A"/>
    <w:rsid w:val="00064B2D"/>
    <w:rsid w:val="00065F1F"/>
    <w:rsid w:val="000704E6"/>
    <w:rsid w:val="000750E3"/>
    <w:rsid w:val="00076D33"/>
    <w:rsid w:val="00092CDA"/>
    <w:rsid w:val="000A27E9"/>
    <w:rsid w:val="000A3A89"/>
    <w:rsid w:val="000A3D8B"/>
    <w:rsid w:val="000A5DF8"/>
    <w:rsid w:val="000B6AF2"/>
    <w:rsid w:val="000C16A9"/>
    <w:rsid w:val="000C1A6F"/>
    <w:rsid w:val="000C7973"/>
    <w:rsid w:val="000D0595"/>
    <w:rsid w:val="000D6FD4"/>
    <w:rsid w:val="000E0AE4"/>
    <w:rsid w:val="000E184E"/>
    <w:rsid w:val="000E3DBC"/>
    <w:rsid w:val="000F1E97"/>
    <w:rsid w:val="000F6385"/>
    <w:rsid w:val="00100AE1"/>
    <w:rsid w:val="001015F8"/>
    <w:rsid w:val="00113CE3"/>
    <w:rsid w:val="0011567F"/>
    <w:rsid w:val="00117522"/>
    <w:rsid w:val="001368D6"/>
    <w:rsid w:val="00136A5A"/>
    <w:rsid w:val="00145EF8"/>
    <w:rsid w:val="00150DB9"/>
    <w:rsid w:val="001537E5"/>
    <w:rsid w:val="001542D8"/>
    <w:rsid w:val="001705B6"/>
    <w:rsid w:val="00174051"/>
    <w:rsid w:val="00176640"/>
    <w:rsid w:val="00177D50"/>
    <w:rsid w:val="00180C41"/>
    <w:rsid w:val="00182C4C"/>
    <w:rsid w:val="001831BC"/>
    <w:rsid w:val="001857AD"/>
    <w:rsid w:val="001907DA"/>
    <w:rsid w:val="00193BC7"/>
    <w:rsid w:val="00197D8D"/>
    <w:rsid w:val="001A1A75"/>
    <w:rsid w:val="001A50AB"/>
    <w:rsid w:val="001A55C6"/>
    <w:rsid w:val="001A7E9A"/>
    <w:rsid w:val="001B2386"/>
    <w:rsid w:val="001B6081"/>
    <w:rsid w:val="001C025F"/>
    <w:rsid w:val="001C2610"/>
    <w:rsid w:val="001C27A3"/>
    <w:rsid w:val="001C2F6E"/>
    <w:rsid w:val="001C5295"/>
    <w:rsid w:val="001C6DA9"/>
    <w:rsid w:val="001C748B"/>
    <w:rsid w:val="001E09FA"/>
    <w:rsid w:val="00203540"/>
    <w:rsid w:val="0020406B"/>
    <w:rsid w:val="00204EE2"/>
    <w:rsid w:val="0021557E"/>
    <w:rsid w:val="00215F5A"/>
    <w:rsid w:val="0021612B"/>
    <w:rsid w:val="0021687B"/>
    <w:rsid w:val="0022083A"/>
    <w:rsid w:val="00221257"/>
    <w:rsid w:val="002216B8"/>
    <w:rsid w:val="00221D07"/>
    <w:rsid w:val="00226243"/>
    <w:rsid w:val="00227E4A"/>
    <w:rsid w:val="0023686F"/>
    <w:rsid w:val="00243B3A"/>
    <w:rsid w:val="0024582E"/>
    <w:rsid w:val="00245C56"/>
    <w:rsid w:val="002547EF"/>
    <w:rsid w:val="00254BE2"/>
    <w:rsid w:val="00256D65"/>
    <w:rsid w:val="002577B3"/>
    <w:rsid w:val="002607B9"/>
    <w:rsid w:val="00271146"/>
    <w:rsid w:val="00271F00"/>
    <w:rsid w:val="00273A80"/>
    <w:rsid w:val="00274335"/>
    <w:rsid w:val="0029204E"/>
    <w:rsid w:val="0029227C"/>
    <w:rsid w:val="002941EE"/>
    <w:rsid w:val="0029631C"/>
    <w:rsid w:val="002A0194"/>
    <w:rsid w:val="002A3314"/>
    <w:rsid w:val="002A5E0E"/>
    <w:rsid w:val="002A5F8B"/>
    <w:rsid w:val="002A7F6C"/>
    <w:rsid w:val="002B425A"/>
    <w:rsid w:val="002C2563"/>
    <w:rsid w:val="002C6CFE"/>
    <w:rsid w:val="002D6809"/>
    <w:rsid w:val="002E2F10"/>
    <w:rsid w:val="002E492E"/>
    <w:rsid w:val="002E4A00"/>
    <w:rsid w:val="002F082A"/>
    <w:rsid w:val="002F2B02"/>
    <w:rsid w:val="002F6316"/>
    <w:rsid w:val="002F6488"/>
    <w:rsid w:val="00300670"/>
    <w:rsid w:val="003009A4"/>
    <w:rsid w:val="00303C07"/>
    <w:rsid w:val="003105A6"/>
    <w:rsid w:val="00315E2C"/>
    <w:rsid w:val="00320839"/>
    <w:rsid w:val="003213F9"/>
    <w:rsid w:val="00323DBF"/>
    <w:rsid w:val="00326D85"/>
    <w:rsid w:val="003309A8"/>
    <w:rsid w:val="00331FBC"/>
    <w:rsid w:val="00332B12"/>
    <w:rsid w:val="00337305"/>
    <w:rsid w:val="00340B26"/>
    <w:rsid w:val="00340C3F"/>
    <w:rsid w:val="003410CF"/>
    <w:rsid w:val="003435F2"/>
    <w:rsid w:val="00351B07"/>
    <w:rsid w:val="00352CF2"/>
    <w:rsid w:val="00357E15"/>
    <w:rsid w:val="00364841"/>
    <w:rsid w:val="00364BE6"/>
    <w:rsid w:val="00371B29"/>
    <w:rsid w:val="0037656B"/>
    <w:rsid w:val="003765DC"/>
    <w:rsid w:val="00376F2E"/>
    <w:rsid w:val="00390773"/>
    <w:rsid w:val="00391769"/>
    <w:rsid w:val="00394DEC"/>
    <w:rsid w:val="003953E1"/>
    <w:rsid w:val="003956B3"/>
    <w:rsid w:val="003A5F78"/>
    <w:rsid w:val="003A68BE"/>
    <w:rsid w:val="003B1805"/>
    <w:rsid w:val="003B3C9D"/>
    <w:rsid w:val="003B4FBA"/>
    <w:rsid w:val="003B6D18"/>
    <w:rsid w:val="003B78E0"/>
    <w:rsid w:val="003C4969"/>
    <w:rsid w:val="003D13F9"/>
    <w:rsid w:val="003D31F6"/>
    <w:rsid w:val="003E41D5"/>
    <w:rsid w:val="003E46BA"/>
    <w:rsid w:val="003E7D22"/>
    <w:rsid w:val="003F1F24"/>
    <w:rsid w:val="003F27D8"/>
    <w:rsid w:val="003F74C1"/>
    <w:rsid w:val="00400EFA"/>
    <w:rsid w:val="004028B2"/>
    <w:rsid w:val="004048AB"/>
    <w:rsid w:val="00405B1A"/>
    <w:rsid w:val="00405B45"/>
    <w:rsid w:val="0041039A"/>
    <w:rsid w:val="00410C76"/>
    <w:rsid w:val="00411907"/>
    <w:rsid w:val="00413066"/>
    <w:rsid w:val="00413BC4"/>
    <w:rsid w:val="00413CA8"/>
    <w:rsid w:val="00417EE3"/>
    <w:rsid w:val="004207EB"/>
    <w:rsid w:val="00437276"/>
    <w:rsid w:val="00443782"/>
    <w:rsid w:val="0044414A"/>
    <w:rsid w:val="00446AFC"/>
    <w:rsid w:val="00450D27"/>
    <w:rsid w:val="00451A92"/>
    <w:rsid w:val="004521F1"/>
    <w:rsid w:val="00456B54"/>
    <w:rsid w:val="00461D99"/>
    <w:rsid w:val="00464643"/>
    <w:rsid w:val="00466A36"/>
    <w:rsid w:val="00475A43"/>
    <w:rsid w:val="00480128"/>
    <w:rsid w:val="00482D46"/>
    <w:rsid w:val="004833A0"/>
    <w:rsid w:val="00486793"/>
    <w:rsid w:val="00495DDF"/>
    <w:rsid w:val="004969FF"/>
    <w:rsid w:val="004A2037"/>
    <w:rsid w:val="004B0EFF"/>
    <w:rsid w:val="004B4D1E"/>
    <w:rsid w:val="004C2CA2"/>
    <w:rsid w:val="004C2CE7"/>
    <w:rsid w:val="004C6265"/>
    <w:rsid w:val="004C6558"/>
    <w:rsid w:val="004C7B7B"/>
    <w:rsid w:val="004D017A"/>
    <w:rsid w:val="004D504D"/>
    <w:rsid w:val="004E656C"/>
    <w:rsid w:val="004F4F98"/>
    <w:rsid w:val="004F69F6"/>
    <w:rsid w:val="004F79AC"/>
    <w:rsid w:val="005017CF"/>
    <w:rsid w:val="005144BD"/>
    <w:rsid w:val="0052049D"/>
    <w:rsid w:val="005207D8"/>
    <w:rsid w:val="00530121"/>
    <w:rsid w:val="0053464E"/>
    <w:rsid w:val="00535D04"/>
    <w:rsid w:val="0054272D"/>
    <w:rsid w:val="00545BC7"/>
    <w:rsid w:val="0055093D"/>
    <w:rsid w:val="00550BED"/>
    <w:rsid w:val="00552A0F"/>
    <w:rsid w:val="00555D7E"/>
    <w:rsid w:val="00562917"/>
    <w:rsid w:val="00571712"/>
    <w:rsid w:val="0057615C"/>
    <w:rsid w:val="00580560"/>
    <w:rsid w:val="0058185D"/>
    <w:rsid w:val="00583588"/>
    <w:rsid w:val="0058434F"/>
    <w:rsid w:val="0058551D"/>
    <w:rsid w:val="00586228"/>
    <w:rsid w:val="005934BB"/>
    <w:rsid w:val="00593983"/>
    <w:rsid w:val="00594BCE"/>
    <w:rsid w:val="00595714"/>
    <w:rsid w:val="005A1D97"/>
    <w:rsid w:val="005A3BE7"/>
    <w:rsid w:val="005A58F3"/>
    <w:rsid w:val="005B1A6F"/>
    <w:rsid w:val="005B6AF4"/>
    <w:rsid w:val="005B7A73"/>
    <w:rsid w:val="005C04CB"/>
    <w:rsid w:val="005C0C9A"/>
    <w:rsid w:val="005C385F"/>
    <w:rsid w:val="005C7309"/>
    <w:rsid w:val="005D16AD"/>
    <w:rsid w:val="005D1D67"/>
    <w:rsid w:val="005D72E1"/>
    <w:rsid w:val="005E69DC"/>
    <w:rsid w:val="005E6B11"/>
    <w:rsid w:val="005E6E16"/>
    <w:rsid w:val="005F400E"/>
    <w:rsid w:val="005F67DC"/>
    <w:rsid w:val="005F7342"/>
    <w:rsid w:val="00600748"/>
    <w:rsid w:val="00600FF8"/>
    <w:rsid w:val="00602289"/>
    <w:rsid w:val="00603A08"/>
    <w:rsid w:val="00610A3C"/>
    <w:rsid w:val="00611F30"/>
    <w:rsid w:val="006242F0"/>
    <w:rsid w:val="00627F48"/>
    <w:rsid w:val="00630C23"/>
    <w:rsid w:val="00633E11"/>
    <w:rsid w:val="006460AB"/>
    <w:rsid w:val="00646293"/>
    <w:rsid w:val="00654E38"/>
    <w:rsid w:val="006626EF"/>
    <w:rsid w:val="00663FCF"/>
    <w:rsid w:val="006652A2"/>
    <w:rsid w:val="00666F68"/>
    <w:rsid w:val="0067362C"/>
    <w:rsid w:val="00673B1E"/>
    <w:rsid w:val="00681765"/>
    <w:rsid w:val="00682901"/>
    <w:rsid w:val="00682939"/>
    <w:rsid w:val="00690206"/>
    <w:rsid w:val="00690239"/>
    <w:rsid w:val="00691AA5"/>
    <w:rsid w:val="006937FF"/>
    <w:rsid w:val="006949E9"/>
    <w:rsid w:val="006A48A7"/>
    <w:rsid w:val="006B4590"/>
    <w:rsid w:val="006B4BA1"/>
    <w:rsid w:val="006B5EBE"/>
    <w:rsid w:val="006C5CF5"/>
    <w:rsid w:val="006D0197"/>
    <w:rsid w:val="006D5128"/>
    <w:rsid w:val="006E3F52"/>
    <w:rsid w:val="006E49E2"/>
    <w:rsid w:val="006F04C6"/>
    <w:rsid w:val="006F1381"/>
    <w:rsid w:val="006F3EF5"/>
    <w:rsid w:val="006F4A82"/>
    <w:rsid w:val="0070373B"/>
    <w:rsid w:val="007059EF"/>
    <w:rsid w:val="00723BB6"/>
    <w:rsid w:val="00724FA4"/>
    <w:rsid w:val="00730800"/>
    <w:rsid w:val="00736586"/>
    <w:rsid w:val="00745E5E"/>
    <w:rsid w:val="00750160"/>
    <w:rsid w:val="0075105B"/>
    <w:rsid w:val="00752D7C"/>
    <w:rsid w:val="007602AA"/>
    <w:rsid w:val="0076249A"/>
    <w:rsid w:val="007627E9"/>
    <w:rsid w:val="007652EF"/>
    <w:rsid w:val="00770811"/>
    <w:rsid w:val="00772BDC"/>
    <w:rsid w:val="007755A1"/>
    <w:rsid w:val="00776AF4"/>
    <w:rsid w:val="007773B7"/>
    <w:rsid w:val="00780792"/>
    <w:rsid w:val="00784D25"/>
    <w:rsid w:val="0078584E"/>
    <w:rsid w:val="00796562"/>
    <w:rsid w:val="007A383E"/>
    <w:rsid w:val="007A44B4"/>
    <w:rsid w:val="007A7554"/>
    <w:rsid w:val="007A7D3D"/>
    <w:rsid w:val="007B225D"/>
    <w:rsid w:val="007B7A51"/>
    <w:rsid w:val="007B7DAA"/>
    <w:rsid w:val="007C174F"/>
    <w:rsid w:val="007C1C64"/>
    <w:rsid w:val="007C2771"/>
    <w:rsid w:val="007C5D21"/>
    <w:rsid w:val="007C7D6B"/>
    <w:rsid w:val="007D03EA"/>
    <w:rsid w:val="007D5B3D"/>
    <w:rsid w:val="007E1D98"/>
    <w:rsid w:val="007E48BC"/>
    <w:rsid w:val="007E74C1"/>
    <w:rsid w:val="007E79F7"/>
    <w:rsid w:val="007F073B"/>
    <w:rsid w:val="007F3630"/>
    <w:rsid w:val="007F5832"/>
    <w:rsid w:val="00804960"/>
    <w:rsid w:val="00807559"/>
    <w:rsid w:val="00810C74"/>
    <w:rsid w:val="008110BD"/>
    <w:rsid w:val="00816E71"/>
    <w:rsid w:val="00822135"/>
    <w:rsid w:val="00824858"/>
    <w:rsid w:val="00825901"/>
    <w:rsid w:val="00825EB7"/>
    <w:rsid w:val="00826900"/>
    <w:rsid w:val="00827916"/>
    <w:rsid w:val="008444CB"/>
    <w:rsid w:val="008450BC"/>
    <w:rsid w:val="0085334B"/>
    <w:rsid w:val="008546BD"/>
    <w:rsid w:val="00870214"/>
    <w:rsid w:val="00873F0A"/>
    <w:rsid w:val="008858E1"/>
    <w:rsid w:val="00885C51"/>
    <w:rsid w:val="00885EB0"/>
    <w:rsid w:val="00886560"/>
    <w:rsid w:val="00891F4B"/>
    <w:rsid w:val="0089264A"/>
    <w:rsid w:val="008928DE"/>
    <w:rsid w:val="0089561E"/>
    <w:rsid w:val="00895E4F"/>
    <w:rsid w:val="00896B85"/>
    <w:rsid w:val="00897EA4"/>
    <w:rsid w:val="008A22BE"/>
    <w:rsid w:val="008B101B"/>
    <w:rsid w:val="008B1630"/>
    <w:rsid w:val="008B7B1D"/>
    <w:rsid w:val="008C1B36"/>
    <w:rsid w:val="008D06C6"/>
    <w:rsid w:val="008D5373"/>
    <w:rsid w:val="008D5B65"/>
    <w:rsid w:val="008E05EA"/>
    <w:rsid w:val="008E6250"/>
    <w:rsid w:val="008F3A52"/>
    <w:rsid w:val="0090194A"/>
    <w:rsid w:val="00902AF6"/>
    <w:rsid w:val="009168C8"/>
    <w:rsid w:val="00920249"/>
    <w:rsid w:val="0092310B"/>
    <w:rsid w:val="00924C80"/>
    <w:rsid w:val="00930CCF"/>
    <w:rsid w:val="0093153E"/>
    <w:rsid w:val="00932B03"/>
    <w:rsid w:val="00932F14"/>
    <w:rsid w:val="00941492"/>
    <w:rsid w:val="0094247F"/>
    <w:rsid w:val="00942D60"/>
    <w:rsid w:val="00950D7D"/>
    <w:rsid w:val="0095247C"/>
    <w:rsid w:val="00962347"/>
    <w:rsid w:val="0096523B"/>
    <w:rsid w:val="00966EE3"/>
    <w:rsid w:val="00967EFD"/>
    <w:rsid w:val="00970D8E"/>
    <w:rsid w:val="009714A0"/>
    <w:rsid w:val="00972D06"/>
    <w:rsid w:val="00977222"/>
    <w:rsid w:val="00982F35"/>
    <w:rsid w:val="009863FD"/>
    <w:rsid w:val="009A391C"/>
    <w:rsid w:val="009A4671"/>
    <w:rsid w:val="009A50F2"/>
    <w:rsid w:val="009B2373"/>
    <w:rsid w:val="009B603D"/>
    <w:rsid w:val="009C059B"/>
    <w:rsid w:val="009C1DB7"/>
    <w:rsid w:val="009C4B24"/>
    <w:rsid w:val="009D114F"/>
    <w:rsid w:val="009E0A61"/>
    <w:rsid w:val="009E3010"/>
    <w:rsid w:val="009F007E"/>
    <w:rsid w:val="009F7065"/>
    <w:rsid w:val="00A02315"/>
    <w:rsid w:val="00A04498"/>
    <w:rsid w:val="00A11135"/>
    <w:rsid w:val="00A11EE7"/>
    <w:rsid w:val="00A15BC1"/>
    <w:rsid w:val="00A2121F"/>
    <w:rsid w:val="00A23CF5"/>
    <w:rsid w:val="00A3160A"/>
    <w:rsid w:val="00A4175D"/>
    <w:rsid w:val="00A511BA"/>
    <w:rsid w:val="00A52AB9"/>
    <w:rsid w:val="00A56DC7"/>
    <w:rsid w:val="00A57202"/>
    <w:rsid w:val="00A6298E"/>
    <w:rsid w:val="00A65799"/>
    <w:rsid w:val="00A67A21"/>
    <w:rsid w:val="00A71162"/>
    <w:rsid w:val="00A74FD1"/>
    <w:rsid w:val="00A77BFA"/>
    <w:rsid w:val="00A80AC2"/>
    <w:rsid w:val="00A83318"/>
    <w:rsid w:val="00A84A58"/>
    <w:rsid w:val="00A96E81"/>
    <w:rsid w:val="00AA7A6A"/>
    <w:rsid w:val="00AC2344"/>
    <w:rsid w:val="00AC78FB"/>
    <w:rsid w:val="00AD3B54"/>
    <w:rsid w:val="00AE0ABC"/>
    <w:rsid w:val="00AE13A5"/>
    <w:rsid w:val="00AE2D28"/>
    <w:rsid w:val="00AF06FC"/>
    <w:rsid w:val="00AF3391"/>
    <w:rsid w:val="00AF387F"/>
    <w:rsid w:val="00AF6CE6"/>
    <w:rsid w:val="00B00E7F"/>
    <w:rsid w:val="00B12F1E"/>
    <w:rsid w:val="00B173DA"/>
    <w:rsid w:val="00B21DCC"/>
    <w:rsid w:val="00B238E6"/>
    <w:rsid w:val="00B2438E"/>
    <w:rsid w:val="00B2579A"/>
    <w:rsid w:val="00B25F37"/>
    <w:rsid w:val="00B375A3"/>
    <w:rsid w:val="00B37BF0"/>
    <w:rsid w:val="00B44422"/>
    <w:rsid w:val="00B46EA0"/>
    <w:rsid w:val="00B511DE"/>
    <w:rsid w:val="00B52CED"/>
    <w:rsid w:val="00B53A1F"/>
    <w:rsid w:val="00B5556B"/>
    <w:rsid w:val="00B556BF"/>
    <w:rsid w:val="00B60EE2"/>
    <w:rsid w:val="00B731D3"/>
    <w:rsid w:val="00B839A3"/>
    <w:rsid w:val="00B85FD9"/>
    <w:rsid w:val="00B902BD"/>
    <w:rsid w:val="00B97002"/>
    <w:rsid w:val="00BA24E2"/>
    <w:rsid w:val="00BA46A1"/>
    <w:rsid w:val="00BA5408"/>
    <w:rsid w:val="00BD2A39"/>
    <w:rsid w:val="00BD2E80"/>
    <w:rsid w:val="00BD5C82"/>
    <w:rsid w:val="00BD66E2"/>
    <w:rsid w:val="00BE11B8"/>
    <w:rsid w:val="00BE418D"/>
    <w:rsid w:val="00BF7FF0"/>
    <w:rsid w:val="00C038D7"/>
    <w:rsid w:val="00C057F4"/>
    <w:rsid w:val="00C06286"/>
    <w:rsid w:val="00C12502"/>
    <w:rsid w:val="00C13DEA"/>
    <w:rsid w:val="00C17559"/>
    <w:rsid w:val="00C17E7C"/>
    <w:rsid w:val="00C242CA"/>
    <w:rsid w:val="00C277A5"/>
    <w:rsid w:val="00C35251"/>
    <w:rsid w:val="00C36578"/>
    <w:rsid w:val="00C372AF"/>
    <w:rsid w:val="00C40AA5"/>
    <w:rsid w:val="00C41C4F"/>
    <w:rsid w:val="00C43EA6"/>
    <w:rsid w:val="00C46F70"/>
    <w:rsid w:val="00C4763C"/>
    <w:rsid w:val="00C476D0"/>
    <w:rsid w:val="00C55251"/>
    <w:rsid w:val="00C61AC1"/>
    <w:rsid w:val="00C6241E"/>
    <w:rsid w:val="00C804F6"/>
    <w:rsid w:val="00C811EA"/>
    <w:rsid w:val="00C836E3"/>
    <w:rsid w:val="00C853F4"/>
    <w:rsid w:val="00C86577"/>
    <w:rsid w:val="00C90674"/>
    <w:rsid w:val="00C90A05"/>
    <w:rsid w:val="00C92E07"/>
    <w:rsid w:val="00C945A8"/>
    <w:rsid w:val="00C96868"/>
    <w:rsid w:val="00C969C3"/>
    <w:rsid w:val="00C9734B"/>
    <w:rsid w:val="00CA0416"/>
    <w:rsid w:val="00CA2614"/>
    <w:rsid w:val="00CA641D"/>
    <w:rsid w:val="00CB35BE"/>
    <w:rsid w:val="00CB3819"/>
    <w:rsid w:val="00CC395A"/>
    <w:rsid w:val="00CC560B"/>
    <w:rsid w:val="00CC75E2"/>
    <w:rsid w:val="00CD0BD5"/>
    <w:rsid w:val="00CD17AC"/>
    <w:rsid w:val="00CD2D31"/>
    <w:rsid w:val="00CD46EB"/>
    <w:rsid w:val="00CD7EBF"/>
    <w:rsid w:val="00D05204"/>
    <w:rsid w:val="00D056F1"/>
    <w:rsid w:val="00D11171"/>
    <w:rsid w:val="00D22F3C"/>
    <w:rsid w:val="00D23DB6"/>
    <w:rsid w:val="00D24366"/>
    <w:rsid w:val="00D244AB"/>
    <w:rsid w:val="00D36458"/>
    <w:rsid w:val="00D428FB"/>
    <w:rsid w:val="00D42B75"/>
    <w:rsid w:val="00D43839"/>
    <w:rsid w:val="00D43FE6"/>
    <w:rsid w:val="00D51A95"/>
    <w:rsid w:val="00D54914"/>
    <w:rsid w:val="00D54F26"/>
    <w:rsid w:val="00D55F71"/>
    <w:rsid w:val="00D60568"/>
    <w:rsid w:val="00D63664"/>
    <w:rsid w:val="00D6751F"/>
    <w:rsid w:val="00D67E2B"/>
    <w:rsid w:val="00D70C7A"/>
    <w:rsid w:val="00D81D38"/>
    <w:rsid w:val="00D877D8"/>
    <w:rsid w:val="00D914A2"/>
    <w:rsid w:val="00D9620E"/>
    <w:rsid w:val="00DA10A8"/>
    <w:rsid w:val="00DA3910"/>
    <w:rsid w:val="00DA518B"/>
    <w:rsid w:val="00DB173E"/>
    <w:rsid w:val="00DB1E08"/>
    <w:rsid w:val="00DB2479"/>
    <w:rsid w:val="00DB2973"/>
    <w:rsid w:val="00DB29C2"/>
    <w:rsid w:val="00DB7611"/>
    <w:rsid w:val="00DC12DE"/>
    <w:rsid w:val="00DC1B56"/>
    <w:rsid w:val="00DC2129"/>
    <w:rsid w:val="00DC3A62"/>
    <w:rsid w:val="00DC6570"/>
    <w:rsid w:val="00DD3C5E"/>
    <w:rsid w:val="00DD47AB"/>
    <w:rsid w:val="00DE6793"/>
    <w:rsid w:val="00DE792C"/>
    <w:rsid w:val="00DF25C3"/>
    <w:rsid w:val="00DF3C41"/>
    <w:rsid w:val="00DF5D1D"/>
    <w:rsid w:val="00E00F34"/>
    <w:rsid w:val="00E04062"/>
    <w:rsid w:val="00E059C1"/>
    <w:rsid w:val="00E063C6"/>
    <w:rsid w:val="00E066BA"/>
    <w:rsid w:val="00E114DB"/>
    <w:rsid w:val="00E2003B"/>
    <w:rsid w:val="00E203C2"/>
    <w:rsid w:val="00E2069D"/>
    <w:rsid w:val="00E279D8"/>
    <w:rsid w:val="00E319B1"/>
    <w:rsid w:val="00E32BA4"/>
    <w:rsid w:val="00E44E0D"/>
    <w:rsid w:val="00E461DC"/>
    <w:rsid w:val="00E46A9C"/>
    <w:rsid w:val="00E5492F"/>
    <w:rsid w:val="00E620E9"/>
    <w:rsid w:val="00E62DEF"/>
    <w:rsid w:val="00E6574D"/>
    <w:rsid w:val="00E70A86"/>
    <w:rsid w:val="00E777EC"/>
    <w:rsid w:val="00E80FCD"/>
    <w:rsid w:val="00E840C1"/>
    <w:rsid w:val="00E871B3"/>
    <w:rsid w:val="00E87D08"/>
    <w:rsid w:val="00E94C56"/>
    <w:rsid w:val="00EA2855"/>
    <w:rsid w:val="00EA3AB1"/>
    <w:rsid w:val="00EA7F2F"/>
    <w:rsid w:val="00EB6AE6"/>
    <w:rsid w:val="00EB75BC"/>
    <w:rsid w:val="00EC00DE"/>
    <w:rsid w:val="00EC2811"/>
    <w:rsid w:val="00EC30E1"/>
    <w:rsid w:val="00EC46C3"/>
    <w:rsid w:val="00ED172A"/>
    <w:rsid w:val="00ED65DA"/>
    <w:rsid w:val="00F001FF"/>
    <w:rsid w:val="00F04013"/>
    <w:rsid w:val="00F06061"/>
    <w:rsid w:val="00F11F6C"/>
    <w:rsid w:val="00F12CAE"/>
    <w:rsid w:val="00F14BEC"/>
    <w:rsid w:val="00F21BA6"/>
    <w:rsid w:val="00F225C5"/>
    <w:rsid w:val="00F25384"/>
    <w:rsid w:val="00F2587A"/>
    <w:rsid w:val="00F3692E"/>
    <w:rsid w:val="00F3715D"/>
    <w:rsid w:val="00F37EFC"/>
    <w:rsid w:val="00F420C8"/>
    <w:rsid w:val="00F42A4C"/>
    <w:rsid w:val="00F463EC"/>
    <w:rsid w:val="00F535E4"/>
    <w:rsid w:val="00F604DE"/>
    <w:rsid w:val="00F814A4"/>
    <w:rsid w:val="00F82477"/>
    <w:rsid w:val="00F9612C"/>
    <w:rsid w:val="00FA01B2"/>
    <w:rsid w:val="00FA3AD6"/>
    <w:rsid w:val="00FA58AB"/>
    <w:rsid w:val="00FB0D9C"/>
    <w:rsid w:val="00FB2384"/>
    <w:rsid w:val="00FB54A8"/>
    <w:rsid w:val="00FB584D"/>
    <w:rsid w:val="00FB7512"/>
    <w:rsid w:val="00FC4E0C"/>
    <w:rsid w:val="00FD0A1A"/>
    <w:rsid w:val="00FD402E"/>
    <w:rsid w:val="00FD4DA2"/>
    <w:rsid w:val="00FD7547"/>
    <w:rsid w:val="00FE7EBC"/>
    <w:rsid w:val="00FF07D9"/>
    <w:rsid w:val="00FF5F5C"/>
    <w:rsid w:val="00FF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E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8928DE"/>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221257"/>
    <w:pPr>
      <w:keepNext/>
      <w:spacing w:before="240" w:after="240"/>
      <w:ind w:left="851" w:hanging="851"/>
      <w:outlineLvl w:val="2"/>
    </w:pPr>
    <w:rPr>
      <w:b/>
      <w:bCs/>
      <w:color w:val="000000" w:themeColor="text1"/>
      <w:sz w:val="24"/>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8928DE"/>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221257"/>
    <w:rPr>
      <w:rFonts w:ascii="Arial" w:hAnsi="Arial"/>
      <w:b/>
      <w:bCs/>
      <w:color w:val="000000" w:themeColor="text1"/>
      <w:sz w:val="24"/>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ED65DA"/>
    <w:pPr>
      <w:spacing w:before="120" w:after="120"/>
    </w:pPr>
    <w:rPr>
      <w:rFonts w:ascii="Arial Bold" w:hAnsi="Arial Bold"/>
      <w:b/>
      <w:bCs/>
      <w:caps/>
      <w:sz w:val="20"/>
      <w:szCs w:val="20"/>
    </w:rPr>
  </w:style>
  <w:style w:type="paragraph" w:styleId="TOC2">
    <w:name w:val="toc 2"/>
    <w:basedOn w:val="Normal"/>
    <w:next w:val="Normal"/>
    <w:autoRedefine/>
    <w:uiPriority w:val="39"/>
    <w:rsid w:val="00C55251"/>
    <w:pPr>
      <w:tabs>
        <w:tab w:val="left" w:pos="851"/>
        <w:tab w:val="right" w:leader="dot" w:pos="9060"/>
      </w:tabs>
      <w:ind w:left="227" w:firstLine="227"/>
    </w:pPr>
    <w:rPr>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uiPriority w:val="39"/>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noteTextChar">
    <w:name w:val="Footnote Text Char"/>
    <w:basedOn w:val="DefaultParagraphFont"/>
    <w:link w:val="FootnoteText"/>
    <w:semiHidden/>
    <w:rsid w:val="008E05EA"/>
    <w:rPr>
      <w:rFonts w:ascii="Arial" w:hAnsi="Arial"/>
      <w:lang w:eastAsia="en-US" w:bidi="en-US"/>
    </w:rPr>
  </w:style>
  <w:style w:type="paragraph" w:styleId="ListParagraph">
    <w:name w:val="List Paragraph"/>
    <w:basedOn w:val="Normal"/>
    <w:uiPriority w:val="34"/>
    <w:qFormat/>
    <w:rsid w:val="0058434F"/>
    <w:pPr>
      <w:ind w:left="720"/>
      <w:contextualSpacing/>
    </w:pPr>
  </w:style>
  <w:style w:type="table" w:styleId="ListTable4">
    <w:name w:val="List Table 4"/>
    <w:basedOn w:val="TableNormal"/>
    <w:uiPriority w:val="49"/>
    <w:rsid w:val="00FD0A1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semiHidden/>
    <w:unhideWhenUsed/>
    <w:rsid w:val="00C17559"/>
    <w:rPr>
      <w:b/>
      <w:bCs/>
    </w:rPr>
  </w:style>
  <w:style w:type="character" w:customStyle="1" w:styleId="CommentSubjectChar">
    <w:name w:val="Comment Subject Char"/>
    <w:basedOn w:val="CommentTextChar"/>
    <w:link w:val="CommentSubject"/>
    <w:semiHidden/>
    <w:rsid w:val="00C17559"/>
    <w:rPr>
      <w:rFonts w:ascii="Arial" w:hAnsi="Arial"/>
      <w:b/>
      <w:bCs/>
      <w:lang w:eastAsia="en-US" w:bidi="en-US"/>
    </w:rPr>
  </w:style>
  <w:style w:type="paragraph" w:customStyle="1" w:styleId="Default">
    <w:name w:val="Default"/>
    <w:rsid w:val="00C17559"/>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E620E9"/>
    <w:pPr>
      <w:widowControl/>
      <w:spacing w:after="240" w:line="360" w:lineRule="auto"/>
      <w:ind w:left="709" w:hanging="709"/>
    </w:pPr>
    <w:rPr>
      <w:rFonts w:ascii="Times New Roman" w:hAnsi="Times New Roman"/>
      <w:szCs w:val="20"/>
      <w:lang w:val="en-US" w:bidi="ar-SA"/>
    </w:rPr>
  </w:style>
  <w:style w:type="character" w:customStyle="1" w:styleId="BodyTextIndentChar">
    <w:name w:val="Body Text Indent Char"/>
    <w:basedOn w:val="DefaultParagraphFont"/>
    <w:link w:val="BodyTextIndent"/>
    <w:rsid w:val="00E620E9"/>
    <w:rPr>
      <w:rFonts w:ascii="Times New Roman"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hyperlink" Target="http://ilsirf.org/publication/a-review-of-the-environmental-safety-of-the-cry1ab-protein/?kp1=2" TargetMode="Externa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hyperlink" Target="https://grdc.com.au/GN-Soybeans-North"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tinyurl.com/r35v9e5" TargetMode="Externa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foodstandards.gov.au/code/applications/Pages/A1147.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s.usda.gov/commodities/soybean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fao.org/faostat/en/" TargetMode="External"/><Relationship Id="rId19" Type="http://schemas.openxmlformats.org/officeDocument/2006/relationships/hyperlink" Target="http://www.foodstandards.gov.au/code/applications/pages/applicationa1051food4902.asp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comparedatabase.org/database/" TargetMode="External"/><Relationship Id="rId22" Type="http://schemas.openxmlformats.org/officeDocument/2006/relationships/hyperlink" Target="http://www.iobc-global.org/download/Microbial_Regulation_Book_Kabaluk%20_et_%20al_2010.pdf" TargetMode="External"/><Relationship Id="rId27"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comparedatabase.org/database/" TargetMode="External"/><Relationship Id="rId2" Type="http://schemas.openxmlformats.org/officeDocument/2006/relationships/hyperlink" Target="https://www.fas.usda.gov/commodities/soybeans" TargetMode="External"/><Relationship Id="rId1" Type="http://schemas.openxmlformats.org/officeDocument/2006/relationships/hyperlink" Target="http://www.fao.org/faosta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772E4-F72F-4C77-B4D6-037766DA8ABF}"/>
</file>

<file path=customXml/itemProps2.xml><?xml version="1.0" encoding="utf-8"?>
<ds:datastoreItem xmlns:ds="http://schemas.openxmlformats.org/officeDocument/2006/customXml" ds:itemID="{99623B8D-2879-4E34-87C4-A1E6F1A17ED2}"/>
</file>

<file path=customXml/itemProps3.xml><?xml version="1.0" encoding="utf-8"?>
<ds:datastoreItem xmlns:ds="http://schemas.openxmlformats.org/officeDocument/2006/customXml" ds:itemID="{8360899C-4A71-41AE-947B-2DE57FE2566A}"/>
</file>

<file path=customXml/itemProps4.xml><?xml version="1.0" encoding="utf-8"?>
<ds:datastoreItem xmlns:ds="http://schemas.openxmlformats.org/officeDocument/2006/customXml" ds:itemID="{BE778C1A-03BE-4EC3-8EFA-4537EA29AD3F}"/>
</file>

<file path=customXml/itemProps5.xml><?xml version="1.0" encoding="utf-8"?>
<ds:datastoreItem xmlns:ds="http://schemas.openxmlformats.org/officeDocument/2006/customXml" ds:itemID="{0AFBA0A7-DC4A-40F4-9745-D56413E7D575}"/>
</file>

<file path=docProps/app.xml><?xml version="1.0" encoding="utf-8"?>
<Properties xmlns="http://schemas.openxmlformats.org/officeDocument/2006/extended-properties" xmlns:vt="http://schemas.openxmlformats.org/officeDocument/2006/docPropsVTypes">
  <Template>Normal</Template>
  <TotalTime>0</TotalTime>
  <Pages>32</Pages>
  <Words>12721</Words>
  <Characters>72512</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2020-09-23T23:06:00Z</dcterms:created>
  <dcterms:modified xsi:type="dcterms:W3CDTF">2020-09-24T22:10:00Z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8d41898d-7b37-405b-9eb5-f5223c57b4b3</vt:lpwstr>
  </property>
  <property fmtid="{D5CDD505-2E9C-101B-9397-08002B2CF9AE}" pid="3"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bjSaver">
    <vt:lpwstr>CHMwBx+qyUKWIlrVihdWG0GEK68prPyl</vt:lpwstr>
  </property>
  <property fmtid="{D5CDD505-2E9C-101B-9397-08002B2CF9AE}" pid="7" name="ContentTypeId">
    <vt:lpwstr>0x010100CB2FFA9FD6109347A9495CD5860AFAE6</vt:lpwstr>
  </property>
</Properties>
</file>